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B76" w:rsidRPr="00690D4B" w:rsidRDefault="00E65CA0" w:rsidP="00927B76">
      <w:pPr>
        <w:autoSpaceDE w:val="0"/>
        <w:autoSpaceDN w:val="0"/>
        <w:adjustRightInd w:val="0"/>
        <w:spacing w:after="0" w:line="240" w:lineRule="auto"/>
        <w:jc w:val="center"/>
        <w:rPr>
          <w:rFonts w:ascii="Arial" w:hAnsi="Arial" w:cs="Arial"/>
          <w:b/>
          <w:bCs/>
        </w:rPr>
      </w:pPr>
      <w:r>
        <w:rPr>
          <w:rFonts w:ascii="Arial" w:hAnsi="Arial" w:cs="Arial"/>
          <w:b/>
          <w:bCs/>
        </w:rPr>
        <w:t xml:space="preserve">Informe de seguimiento al </w:t>
      </w:r>
      <w:r w:rsidRPr="00E65CA0">
        <w:rPr>
          <w:rFonts w:ascii="Arial" w:hAnsi="Arial" w:cs="Arial"/>
          <w:b/>
          <w:bCs/>
        </w:rPr>
        <w:t xml:space="preserve">Sistema Único De Gestión E Información Litigiosa Del Estado “Ekogui” </w:t>
      </w:r>
      <w:r w:rsidR="00AE0331">
        <w:rPr>
          <w:rFonts w:ascii="Arial" w:hAnsi="Arial" w:cs="Arial"/>
          <w:b/>
          <w:bCs/>
        </w:rPr>
        <w:t>–</w:t>
      </w:r>
      <w:r w:rsidR="00927B76" w:rsidRPr="00690D4B">
        <w:rPr>
          <w:rFonts w:ascii="Arial" w:hAnsi="Arial" w:cs="Arial"/>
          <w:b/>
          <w:bCs/>
        </w:rPr>
        <w:t xml:space="preserve"> </w:t>
      </w:r>
      <w:r w:rsidR="00D705A1">
        <w:rPr>
          <w:rFonts w:ascii="Arial" w:hAnsi="Arial" w:cs="Arial"/>
          <w:b/>
          <w:bCs/>
        </w:rPr>
        <w:t>Primer</w:t>
      </w:r>
      <w:r w:rsidR="00AE0331">
        <w:rPr>
          <w:rFonts w:ascii="Arial" w:hAnsi="Arial" w:cs="Arial"/>
          <w:b/>
          <w:bCs/>
        </w:rPr>
        <w:t xml:space="preserve"> </w:t>
      </w:r>
      <w:r w:rsidR="00ED7097" w:rsidRPr="00690D4B">
        <w:rPr>
          <w:rFonts w:ascii="Arial" w:hAnsi="Arial" w:cs="Arial"/>
          <w:b/>
          <w:bCs/>
        </w:rPr>
        <w:t>(</w:t>
      </w:r>
      <w:r w:rsidR="00B23C4F">
        <w:rPr>
          <w:rFonts w:ascii="Arial" w:hAnsi="Arial" w:cs="Arial"/>
          <w:b/>
          <w:bCs/>
        </w:rPr>
        <w:t>I</w:t>
      </w:r>
      <w:r w:rsidR="00927B76" w:rsidRPr="00690D4B">
        <w:rPr>
          <w:rFonts w:ascii="Arial" w:hAnsi="Arial" w:cs="Arial"/>
          <w:b/>
          <w:bCs/>
        </w:rPr>
        <w:t xml:space="preserve">) </w:t>
      </w:r>
      <w:r w:rsidR="00D705A1">
        <w:rPr>
          <w:rFonts w:ascii="Arial" w:hAnsi="Arial" w:cs="Arial"/>
          <w:b/>
          <w:bCs/>
        </w:rPr>
        <w:t>Semestre de</w:t>
      </w:r>
      <w:r w:rsidR="00927B76" w:rsidRPr="00690D4B">
        <w:rPr>
          <w:rFonts w:ascii="Arial" w:hAnsi="Arial" w:cs="Arial"/>
          <w:b/>
          <w:bCs/>
        </w:rPr>
        <w:t xml:space="preserve"> 201</w:t>
      </w:r>
      <w:r w:rsidR="00ED7097" w:rsidRPr="00690D4B">
        <w:rPr>
          <w:rFonts w:ascii="Arial" w:hAnsi="Arial" w:cs="Arial"/>
          <w:b/>
          <w:bCs/>
        </w:rPr>
        <w:t>5</w:t>
      </w:r>
    </w:p>
    <w:p w:rsidR="00927B76" w:rsidRDefault="00927B76" w:rsidP="00927B76">
      <w:pPr>
        <w:autoSpaceDE w:val="0"/>
        <w:autoSpaceDN w:val="0"/>
        <w:adjustRightInd w:val="0"/>
        <w:spacing w:after="0" w:line="240" w:lineRule="auto"/>
        <w:jc w:val="center"/>
        <w:rPr>
          <w:rFonts w:ascii="Arial" w:hAnsi="Arial" w:cs="Arial"/>
          <w:b/>
          <w:bCs/>
        </w:rPr>
      </w:pPr>
    </w:p>
    <w:p w:rsidR="00927B76" w:rsidRDefault="00927B76" w:rsidP="00927B76">
      <w:pPr>
        <w:autoSpaceDE w:val="0"/>
        <w:autoSpaceDN w:val="0"/>
        <w:adjustRightInd w:val="0"/>
        <w:spacing w:after="0" w:line="240" w:lineRule="auto"/>
        <w:jc w:val="center"/>
        <w:rPr>
          <w:rFonts w:ascii="Arial" w:hAnsi="Arial" w:cs="Arial"/>
          <w:b/>
          <w:bCs/>
        </w:rPr>
      </w:pPr>
    </w:p>
    <w:p w:rsidR="00C11CB0" w:rsidRDefault="00C11CB0" w:rsidP="00927B76">
      <w:pPr>
        <w:autoSpaceDE w:val="0"/>
        <w:autoSpaceDN w:val="0"/>
        <w:adjustRightInd w:val="0"/>
        <w:spacing w:after="0" w:line="240" w:lineRule="auto"/>
        <w:jc w:val="center"/>
        <w:rPr>
          <w:rFonts w:ascii="Arial" w:hAnsi="Arial" w:cs="Arial"/>
          <w:b/>
          <w:bCs/>
        </w:rPr>
      </w:pPr>
    </w:p>
    <w:p w:rsidR="00927B76" w:rsidRPr="00C406A3" w:rsidRDefault="00D705A1" w:rsidP="00927B76">
      <w:pPr>
        <w:numPr>
          <w:ilvl w:val="0"/>
          <w:numId w:val="6"/>
        </w:numPr>
        <w:autoSpaceDE w:val="0"/>
        <w:autoSpaceDN w:val="0"/>
        <w:adjustRightInd w:val="0"/>
        <w:spacing w:after="0" w:line="240" w:lineRule="auto"/>
        <w:jc w:val="both"/>
        <w:rPr>
          <w:rFonts w:ascii="Arial" w:hAnsi="Arial" w:cs="Arial"/>
          <w:b/>
          <w:bCs/>
          <w:u w:val="single"/>
        </w:rPr>
      </w:pPr>
      <w:r w:rsidRPr="00C406A3">
        <w:rPr>
          <w:rFonts w:ascii="Arial" w:hAnsi="Arial" w:cs="Arial"/>
          <w:b/>
          <w:bCs/>
          <w:u w:val="single"/>
        </w:rPr>
        <w:t>Información General</w:t>
      </w:r>
    </w:p>
    <w:p w:rsidR="00927B76" w:rsidRPr="000D4A56" w:rsidRDefault="00927B76" w:rsidP="00927B76">
      <w:pPr>
        <w:autoSpaceDE w:val="0"/>
        <w:autoSpaceDN w:val="0"/>
        <w:adjustRightInd w:val="0"/>
        <w:spacing w:after="0" w:line="240" w:lineRule="auto"/>
        <w:ind w:left="720"/>
        <w:jc w:val="both"/>
        <w:rPr>
          <w:rFonts w:ascii="Arial" w:hAnsi="Arial" w:cs="Arial"/>
          <w:b/>
          <w:bCs/>
        </w:rPr>
      </w:pPr>
    </w:p>
    <w:p w:rsidR="00927B76" w:rsidRDefault="00927B76" w:rsidP="00927B76">
      <w:pPr>
        <w:autoSpaceDE w:val="0"/>
        <w:autoSpaceDN w:val="0"/>
        <w:adjustRightInd w:val="0"/>
        <w:spacing w:after="0" w:line="240" w:lineRule="auto"/>
        <w:ind w:left="720"/>
        <w:jc w:val="both"/>
        <w:rPr>
          <w:rFonts w:ascii="Arial" w:hAnsi="Arial" w:cs="Arial"/>
          <w:b/>
          <w:bCs/>
        </w:rPr>
      </w:pPr>
    </w:p>
    <w:p w:rsidR="00927B76" w:rsidRPr="000D4A56" w:rsidRDefault="00D705A1" w:rsidP="00927B76">
      <w:pPr>
        <w:numPr>
          <w:ilvl w:val="1"/>
          <w:numId w:val="6"/>
        </w:numPr>
        <w:autoSpaceDE w:val="0"/>
        <w:autoSpaceDN w:val="0"/>
        <w:adjustRightInd w:val="0"/>
        <w:spacing w:after="0" w:line="240" w:lineRule="auto"/>
        <w:jc w:val="both"/>
        <w:rPr>
          <w:rFonts w:ascii="Arial" w:hAnsi="Arial" w:cs="Arial"/>
          <w:b/>
          <w:bCs/>
        </w:rPr>
      </w:pPr>
      <w:r w:rsidRPr="000D4A56">
        <w:rPr>
          <w:rFonts w:ascii="Arial" w:hAnsi="Arial" w:cs="Arial"/>
          <w:b/>
          <w:bCs/>
        </w:rPr>
        <w:t xml:space="preserve">Objetivo </w:t>
      </w:r>
    </w:p>
    <w:p w:rsidR="00927B76" w:rsidRPr="00212249" w:rsidRDefault="00927B76" w:rsidP="00927B76">
      <w:pPr>
        <w:autoSpaceDE w:val="0"/>
        <w:autoSpaceDN w:val="0"/>
        <w:adjustRightInd w:val="0"/>
        <w:spacing w:after="0" w:line="240" w:lineRule="auto"/>
        <w:jc w:val="both"/>
        <w:rPr>
          <w:rFonts w:ascii="Arial" w:hAnsi="Arial" w:cs="Arial"/>
        </w:rPr>
      </w:pPr>
    </w:p>
    <w:p w:rsidR="00927B76" w:rsidRPr="000D4A56" w:rsidRDefault="00212249" w:rsidP="00212249">
      <w:pPr>
        <w:tabs>
          <w:tab w:val="left" w:pos="3240"/>
        </w:tabs>
        <w:autoSpaceDE w:val="0"/>
        <w:autoSpaceDN w:val="0"/>
        <w:adjustRightInd w:val="0"/>
        <w:jc w:val="both"/>
        <w:rPr>
          <w:rFonts w:ascii="Arial" w:hAnsi="Arial" w:cs="Arial"/>
        </w:rPr>
      </w:pPr>
      <w:r w:rsidRPr="00212249">
        <w:rPr>
          <w:rFonts w:ascii="Arial" w:hAnsi="Arial" w:cs="Arial"/>
        </w:rPr>
        <w:t>Efectuar el seguimiento en el sistema de informa</w:t>
      </w:r>
      <w:r w:rsidR="005C63DA">
        <w:rPr>
          <w:rFonts w:ascii="Arial" w:hAnsi="Arial" w:cs="Arial"/>
        </w:rPr>
        <w:t>ción litigiosa del estado eK</w:t>
      </w:r>
      <w:r w:rsidR="00E65CA0">
        <w:rPr>
          <w:rFonts w:ascii="Arial" w:hAnsi="Arial" w:cs="Arial"/>
        </w:rPr>
        <w:t xml:space="preserve">ogui </w:t>
      </w:r>
      <w:r w:rsidRPr="00212249">
        <w:rPr>
          <w:rFonts w:ascii="Arial" w:hAnsi="Arial" w:cs="Arial"/>
        </w:rPr>
        <w:t>del registro y actualizaciones de la información de los procesos judiciales y conciliaciones con el fin de verificar que se haya realizado de manera oportuna y completa por parte de la Oficina Asesora Jurídica a través de los roles que se tienen asignados en la Superintendencia del Subsidio Familiar, y emitir la presente certificación correspondiente al primer semestre de la vigencia 2015.</w:t>
      </w:r>
    </w:p>
    <w:p w:rsidR="00927B76" w:rsidRPr="000D4A56" w:rsidRDefault="00927B76" w:rsidP="00927B76">
      <w:pPr>
        <w:tabs>
          <w:tab w:val="left" w:pos="3240"/>
        </w:tabs>
        <w:autoSpaceDE w:val="0"/>
        <w:autoSpaceDN w:val="0"/>
        <w:adjustRightInd w:val="0"/>
        <w:spacing w:after="0" w:line="240" w:lineRule="auto"/>
        <w:jc w:val="both"/>
        <w:rPr>
          <w:rFonts w:ascii="Arial" w:hAnsi="Arial" w:cs="Arial"/>
        </w:rPr>
      </w:pPr>
    </w:p>
    <w:p w:rsidR="00927B76" w:rsidRDefault="00D705A1" w:rsidP="00927B76">
      <w:pPr>
        <w:numPr>
          <w:ilvl w:val="1"/>
          <w:numId w:val="6"/>
        </w:numPr>
        <w:autoSpaceDE w:val="0"/>
        <w:autoSpaceDN w:val="0"/>
        <w:adjustRightInd w:val="0"/>
        <w:spacing w:after="0" w:line="240" w:lineRule="auto"/>
        <w:rPr>
          <w:rFonts w:ascii="Arial" w:hAnsi="Arial" w:cs="Arial"/>
          <w:b/>
          <w:bCs/>
        </w:rPr>
      </w:pPr>
      <w:r w:rsidRPr="000D4A56">
        <w:rPr>
          <w:rFonts w:ascii="Arial" w:hAnsi="Arial" w:cs="Arial"/>
          <w:b/>
          <w:bCs/>
        </w:rPr>
        <w:t xml:space="preserve"> Alcance </w:t>
      </w:r>
    </w:p>
    <w:p w:rsidR="0051299B" w:rsidRPr="000D4A56" w:rsidRDefault="0051299B" w:rsidP="0051299B">
      <w:pPr>
        <w:autoSpaceDE w:val="0"/>
        <w:autoSpaceDN w:val="0"/>
        <w:adjustRightInd w:val="0"/>
        <w:spacing w:after="0" w:line="240" w:lineRule="auto"/>
        <w:ind w:left="1080"/>
        <w:rPr>
          <w:rFonts w:ascii="Arial" w:hAnsi="Arial" w:cs="Arial"/>
          <w:b/>
          <w:bCs/>
        </w:rPr>
      </w:pPr>
    </w:p>
    <w:p w:rsidR="00927B76" w:rsidRPr="000D4A56" w:rsidRDefault="002D7387" w:rsidP="00212249">
      <w:pPr>
        <w:autoSpaceDE w:val="0"/>
        <w:autoSpaceDN w:val="0"/>
        <w:adjustRightInd w:val="0"/>
        <w:jc w:val="both"/>
        <w:rPr>
          <w:rFonts w:ascii="Arial" w:hAnsi="Arial" w:cs="Arial"/>
        </w:rPr>
      </w:pPr>
      <w:r>
        <w:rPr>
          <w:rFonts w:ascii="Arial" w:hAnsi="Arial" w:cs="Arial"/>
        </w:rPr>
        <w:t>El periodo evaluado</w:t>
      </w:r>
      <w:r w:rsidR="002C07C3" w:rsidRPr="002C07C3">
        <w:rPr>
          <w:rFonts w:ascii="Arial" w:hAnsi="Arial" w:cs="Arial"/>
        </w:rPr>
        <w:t xml:space="preserve"> se encue</w:t>
      </w:r>
      <w:r w:rsidR="00EF3353">
        <w:rPr>
          <w:rFonts w:ascii="Arial" w:hAnsi="Arial" w:cs="Arial"/>
        </w:rPr>
        <w:t xml:space="preserve">ntra comprendido entre el 1 </w:t>
      </w:r>
      <w:r w:rsidR="00212249">
        <w:rPr>
          <w:rFonts w:ascii="Arial" w:hAnsi="Arial" w:cs="Arial"/>
        </w:rPr>
        <w:t>enero</w:t>
      </w:r>
      <w:r w:rsidR="00EF3353">
        <w:rPr>
          <w:rFonts w:ascii="Arial" w:hAnsi="Arial" w:cs="Arial"/>
        </w:rPr>
        <w:t xml:space="preserve"> y el 30</w:t>
      </w:r>
      <w:r w:rsidR="002C07C3" w:rsidRPr="002C07C3">
        <w:rPr>
          <w:rFonts w:ascii="Arial" w:hAnsi="Arial" w:cs="Arial"/>
        </w:rPr>
        <w:t xml:space="preserve"> de</w:t>
      </w:r>
      <w:r w:rsidR="002C07C3">
        <w:rPr>
          <w:rFonts w:ascii="Arial" w:hAnsi="Arial" w:cs="Arial"/>
        </w:rPr>
        <w:t xml:space="preserve"> </w:t>
      </w:r>
      <w:r w:rsidR="00EF3353">
        <w:rPr>
          <w:rFonts w:ascii="Arial" w:hAnsi="Arial" w:cs="Arial"/>
        </w:rPr>
        <w:t>junio</w:t>
      </w:r>
      <w:r w:rsidR="002C07C3" w:rsidRPr="002C07C3">
        <w:rPr>
          <w:rFonts w:ascii="Arial" w:hAnsi="Arial" w:cs="Arial"/>
        </w:rPr>
        <w:t xml:space="preserve"> de</w:t>
      </w:r>
      <w:r w:rsidR="00EF3353">
        <w:rPr>
          <w:rFonts w:ascii="Arial" w:hAnsi="Arial" w:cs="Arial"/>
        </w:rPr>
        <w:t>l 2015</w:t>
      </w:r>
      <w:r w:rsidR="002C07C3" w:rsidRPr="002C07C3">
        <w:rPr>
          <w:rFonts w:ascii="Arial" w:hAnsi="Arial" w:cs="Arial"/>
        </w:rPr>
        <w:t>.</w:t>
      </w:r>
      <w:r>
        <w:rPr>
          <w:rFonts w:ascii="Arial" w:hAnsi="Arial" w:cs="Arial"/>
        </w:rPr>
        <w:t xml:space="preserve"> </w:t>
      </w:r>
      <w:r w:rsidR="00212249">
        <w:rPr>
          <w:rFonts w:ascii="Arial" w:hAnsi="Arial" w:cs="Arial"/>
        </w:rPr>
        <w:t>Se hizo una revisión y análisis de</w:t>
      </w:r>
      <w:r w:rsidR="00927B76" w:rsidRPr="000D4A56">
        <w:rPr>
          <w:rFonts w:ascii="Arial" w:hAnsi="Arial" w:cs="Arial"/>
        </w:rPr>
        <w:t xml:space="preserve"> </w:t>
      </w:r>
      <w:r w:rsidR="00212249">
        <w:rPr>
          <w:rFonts w:ascii="Arial" w:hAnsi="Arial" w:cs="Arial"/>
        </w:rPr>
        <w:t xml:space="preserve">toda la información que se encuentra reportada en el </w:t>
      </w:r>
      <w:r w:rsidR="00E65CA0">
        <w:rPr>
          <w:rFonts w:ascii="Arial" w:hAnsi="Arial" w:cs="Arial"/>
        </w:rPr>
        <w:t>eKogui</w:t>
      </w:r>
      <w:r w:rsidR="00212249">
        <w:rPr>
          <w:rFonts w:ascii="Arial" w:hAnsi="Arial" w:cs="Arial"/>
        </w:rPr>
        <w:t xml:space="preserve"> de acuerdo a la matriz de los procesos judiciales de la entidad entregada por la Oficina Asesora Jurídica de la Supersubsidio,</w:t>
      </w:r>
      <w:r w:rsidR="00212249" w:rsidRPr="000D4A56">
        <w:rPr>
          <w:rFonts w:ascii="Arial" w:hAnsi="Arial" w:cs="Arial"/>
        </w:rPr>
        <w:t xml:space="preserve"> </w:t>
      </w:r>
      <w:r w:rsidR="00524F95">
        <w:rPr>
          <w:rFonts w:ascii="Arial" w:hAnsi="Arial" w:cs="Arial"/>
        </w:rPr>
        <w:t>de acuerdo con</w:t>
      </w:r>
      <w:r w:rsidR="00212249" w:rsidRPr="000D4A56">
        <w:rPr>
          <w:rFonts w:ascii="Arial" w:hAnsi="Arial" w:cs="Arial"/>
        </w:rPr>
        <w:t xml:space="preserve"> lo</w:t>
      </w:r>
      <w:r w:rsidR="00212249">
        <w:rPr>
          <w:rFonts w:ascii="Arial" w:hAnsi="Arial" w:cs="Arial"/>
        </w:rPr>
        <w:t>s criterios</w:t>
      </w:r>
      <w:r w:rsidR="00212249" w:rsidRPr="000D4A56">
        <w:rPr>
          <w:rFonts w:ascii="Arial" w:hAnsi="Arial" w:cs="Arial"/>
        </w:rPr>
        <w:t xml:space="preserve"> establecido</w:t>
      </w:r>
      <w:r w:rsidR="00212249">
        <w:rPr>
          <w:rFonts w:ascii="Arial" w:hAnsi="Arial" w:cs="Arial"/>
        </w:rPr>
        <w:t>s</w:t>
      </w:r>
      <w:r w:rsidR="00212249" w:rsidRPr="000D4A56">
        <w:rPr>
          <w:rFonts w:ascii="Arial" w:hAnsi="Arial" w:cs="Arial"/>
        </w:rPr>
        <w:t xml:space="preserve"> en </w:t>
      </w:r>
      <w:r w:rsidR="00212249">
        <w:rPr>
          <w:rFonts w:ascii="Arial" w:hAnsi="Arial" w:cs="Arial"/>
        </w:rPr>
        <w:t xml:space="preserve">el </w:t>
      </w:r>
      <w:r w:rsidR="00212249" w:rsidRPr="00212249">
        <w:rPr>
          <w:rFonts w:ascii="Arial" w:hAnsi="Arial" w:cs="Arial"/>
        </w:rPr>
        <w:t>Instructivo Del Sistema Único De Gestión E</w:t>
      </w:r>
      <w:r w:rsidR="00212249">
        <w:rPr>
          <w:rFonts w:ascii="Arial" w:hAnsi="Arial" w:cs="Arial"/>
        </w:rPr>
        <w:t xml:space="preserve"> </w:t>
      </w:r>
      <w:r w:rsidR="00212249" w:rsidRPr="00212249">
        <w:rPr>
          <w:rFonts w:ascii="Arial" w:hAnsi="Arial" w:cs="Arial"/>
        </w:rPr>
        <w:t>Información Litigiosa Del Estado “Ekogui”</w:t>
      </w:r>
      <w:r w:rsidR="00212249">
        <w:rPr>
          <w:rFonts w:ascii="Arial" w:hAnsi="Arial" w:cs="Arial"/>
        </w:rPr>
        <w:t xml:space="preserve"> </w:t>
      </w:r>
      <w:r w:rsidR="00212249" w:rsidRPr="00212249">
        <w:rPr>
          <w:rFonts w:ascii="Arial" w:hAnsi="Arial" w:cs="Arial"/>
        </w:rPr>
        <w:t>Perfil Jefe De Control Interno</w:t>
      </w:r>
      <w:r w:rsidR="00212249">
        <w:rPr>
          <w:rFonts w:ascii="Arial" w:hAnsi="Arial" w:cs="Arial"/>
        </w:rPr>
        <w:t>.</w:t>
      </w:r>
      <w:r w:rsidR="00212249" w:rsidRPr="00212249">
        <w:rPr>
          <w:rFonts w:ascii="Arial" w:hAnsi="Arial" w:cs="Arial"/>
        </w:rPr>
        <w:cr/>
      </w:r>
    </w:p>
    <w:p w:rsidR="00927B76" w:rsidRPr="000D4A56" w:rsidRDefault="00927B76" w:rsidP="00927B76">
      <w:pPr>
        <w:autoSpaceDE w:val="0"/>
        <w:autoSpaceDN w:val="0"/>
        <w:adjustRightInd w:val="0"/>
        <w:spacing w:after="0" w:line="240" w:lineRule="auto"/>
        <w:jc w:val="both"/>
        <w:rPr>
          <w:rFonts w:ascii="Arial" w:hAnsi="Arial" w:cs="Arial"/>
        </w:rPr>
      </w:pPr>
    </w:p>
    <w:p w:rsidR="00927B76" w:rsidRDefault="00D705A1" w:rsidP="00927B76">
      <w:pPr>
        <w:numPr>
          <w:ilvl w:val="0"/>
          <w:numId w:val="6"/>
        </w:numPr>
        <w:jc w:val="both"/>
        <w:rPr>
          <w:rFonts w:ascii="Arial" w:hAnsi="Arial" w:cs="Arial"/>
          <w:b/>
          <w:u w:val="single"/>
        </w:rPr>
      </w:pPr>
      <w:r>
        <w:rPr>
          <w:rFonts w:ascii="Arial" w:hAnsi="Arial" w:cs="Arial"/>
          <w:b/>
          <w:u w:val="single"/>
        </w:rPr>
        <w:t>Certificación</w:t>
      </w:r>
    </w:p>
    <w:p w:rsidR="00927B76" w:rsidRDefault="00524F95" w:rsidP="00170202">
      <w:pPr>
        <w:autoSpaceDE w:val="0"/>
        <w:autoSpaceDN w:val="0"/>
        <w:adjustRightInd w:val="0"/>
        <w:spacing w:before="240" w:after="0"/>
        <w:ind w:left="142"/>
        <w:jc w:val="both"/>
        <w:rPr>
          <w:rFonts w:ascii="Arial" w:hAnsi="Arial" w:cs="Arial"/>
        </w:rPr>
      </w:pPr>
      <w:r w:rsidRPr="00524F95">
        <w:rPr>
          <w:rFonts w:ascii="Arial" w:hAnsi="Arial" w:cs="Arial"/>
        </w:rPr>
        <w:t>En cumplimiento con lo establecido en el Decreto 1069 de 2015, la Oficina de Control Interno de la Superintendencia del Subsidio Familiar, emite la certificación respecto al registro y actualización del Sistema Único de Gestión e información Litigiosa del Estado c</w:t>
      </w:r>
      <w:r w:rsidR="00E65CA0">
        <w:rPr>
          <w:rFonts w:ascii="Arial" w:hAnsi="Arial" w:cs="Arial"/>
        </w:rPr>
        <w:t>on corte a 30 de junio de 2015, t</w:t>
      </w:r>
      <w:r w:rsidRPr="00524F95">
        <w:rPr>
          <w:rFonts w:ascii="Arial" w:hAnsi="Arial" w:cs="Arial"/>
        </w:rPr>
        <w:t>eniendo en cuenta los parámetros sugeridos:</w:t>
      </w:r>
    </w:p>
    <w:p w:rsidR="00524F95" w:rsidRDefault="00524F95" w:rsidP="00524F95">
      <w:pPr>
        <w:pStyle w:val="Prrafodelista"/>
        <w:numPr>
          <w:ilvl w:val="1"/>
          <w:numId w:val="6"/>
        </w:numPr>
        <w:autoSpaceDE w:val="0"/>
        <w:autoSpaceDN w:val="0"/>
        <w:adjustRightInd w:val="0"/>
        <w:spacing w:before="240" w:after="0"/>
        <w:ind w:left="426"/>
        <w:jc w:val="both"/>
        <w:rPr>
          <w:rFonts w:ascii="Arial" w:hAnsi="Arial" w:cs="Arial"/>
          <w:b/>
        </w:rPr>
      </w:pPr>
      <w:r w:rsidRPr="00524F95">
        <w:rPr>
          <w:rFonts w:ascii="Arial" w:hAnsi="Arial" w:cs="Arial"/>
          <w:b/>
        </w:rPr>
        <w:t>Ingreso y retiro de apoderados de la entidad</w:t>
      </w:r>
    </w:p>
    <w:p w:rsidR="00972FD4" w:rsidRDefault="00E65CA0" w:rsidP="00E65CA0">
      <w:pPr>
        <w:autoSpaceDE w:val="0"/>
        <w:autoSpaceDN w:val="0"/>
        <w:adjustRightInd w:val="0"/>
        <w:spacing w:before="240"/>
        <w:ind w:left="142"/>
        <w:jc w:val="both"/>
        <w:rPr>
          <w:rFonts w:ascii="Arial" w:hAnsi="Arial" w:cs="Arial"/>
        </w:rPr>
      </w:pPr>
      <w:r>
        <w:rPr>
          <w:rFonts w:ascii="Arial" w:hAnsi="Arial" w:cs="Arial"/>
        </w:rPr>
        <w:t>Se informó</w:t>
      </w:r>
      <w:r w:rsidR="00972FD4">
        <w:rPr>
          <w:rFonts w:ascii="Arial" w:hAnsi="Arial" w:cs="Arial"/>
        </w:rPr>
        <w:t xml:space="preserve"> que el rol de administrador y apoderado se encuentra designado a la funcionaria Lida Regina Bula, jefe de la Oficina Asesora Jurídica quien ejerce</w:t>
      </w:r>
      <w:r w:rsidR="00972FD4" w:rsidRPr="00972FD4">
        <w:rPr>
          <w:rFonts w:ascii="Arial" w:hAnsi="Arial" w:cs="Arial"/>
        </w:rPr>
        <w:t xml:space="preserve"> la representación judicial </w:t>
      </w:r>
      <w:r w:rsidR="00972FD4">
        <w:rPr>
          <w:rFonts w:ascii="Arial" w:hAnsi="Arial" w:cs="Arial"/>
        </w:rPr>
        <w:t>de la entidad.</w:t>
      </w:r>
      <w:r w:rsidR="00972FD4" w:rsidRPr="00972FD4">
        <w:rPr>
          <w:rFonts w:ascii="Arial" w:hAnsi="Arial" w:cs="Arial"/>
        </w:rPr>
        <w:t xml:space="preserve"> </w:t>
      </w:r>
    </w:p>
    <w:p w:rsidR="00524F95" w:rsidRDefault="00F47492" w:rsidP="00E65CA0">
      <w:pPr>
        <w:pStyle w:val="Prrafodelista"/>
        <w:numPr>
          <w:ilvl w:val="1"/>
          <w:numId w:val="6"/>
        </w:numPr>
        <w:tabs>
          <w:tab w:val="left" w:pos="142"/>
        </w:tabs>
        <w:autoSpaceDE w:val="0"/>
        <w:autoSpaceDN w:val="0"/>
        <w:adjustRightInd w:val="0"/>
        <w:spacing w:before="240" w:after="0"/>
        <w:ind w:left="426" w:hanging="426"/>
        <w:jc w:val="both"/>
        <w:rPr>
          <w:rFonts w:ascii="Arial" w:hAnsi="Arial" w:cs="Arial"/>
          <w:b/>
        </w:rPr>
      </w:pPr>
      <w:r w:rsidRPr="00F47492">
        <w:rPr>
          <w:rFonts w:ascii="Arial" w:hAnsi="Arial" w:cs="Arial"/>
          <w:b/>
        </w:rPr>
        <w:t>Capacitaciones</w:t>
      </w:r>
    </w:p>
    <w:p w:rsidR="00F47492" w:rsidRPr="00F47492" w:rsidRDefault="00170202" w:rsidP="00F47492">
      <w:pPr>
        <w:tabs>
          <w:tab w:val="left" w:pos="142"/>
        </w:tabs>
        <w:autoSpaceDE w:val="0"/>
        <w:autoSpaceDN w:val="0"/>
        <w:adjustRightInd w:val="0"/>
        <w:spacing w:before="240" w:after="0"/>
        <w:ind w:left="142"/>
        <w:jc w:val="both"/>
        <w:rPr>
          <w:rFonts w:ascii="Arial" w:hAnsi="Arial" w:cs="Arial"/>
        </w:rPr>
      </w:pPr>
      <w:r>
        <w:rPr>
          <w:rFonts w:ascii="Arial" w:hAnsi="Arial" w:cs="Arial"/>
        </w:rPr>
        <w:t>Se informó que d</w:t>
      </w:r>
      <w:r w:rsidR="00F47492" w:rsidRPr="00F47492">
        <w:rPr>
          <w:rFonts w:ascii="Arial" w:hAnsi="Arial" w:cs="Arial"/>
        </w:rPr>
        <w:t>urante el primer semestre del 2015, antes de la entrada del fun</w:t>
      </w:r>
      <w:r w:rsidR="005C63DA">
        <w:rPr>
          <w:rFonts w:ascii="Arial" w:hAnsi="Arial" w:cs="Arial"/>
        </w:rPr>
        <w:t xml:space="preserve">cionamiento del nuevo sistema </w:t>
      </w:r>
      <w:r w:rsidR="00F47492" w:rsidRPr="00F47492">
        <w:rPr>
          <w:rFonts w:ascii="Arial" w:hAnsi="Arial" w:cs="Arial"/>
        </w:rPr>
        <w:t>se hizo una capacitación en la Agencia Nacional de Defensa Jurídica del Estado sobre la ver</w:t>
      </w:r>
      <w:r w:rsidR="005C63DA">
        <w:rPr>
          <w:rFonts w:ascii="Arial" w:hAnsi="Arial" w:cs="Arial"/>
        </w:rPr>
        <w:t xml:space="preserve">sión de entrenamiento Beta de </w:t>
      </w:r>
      <w:r w:rsidR="00E65CA0" w:rsidRPr="00E65CA0">
        <w:rPr>
          <w:rFonts w:ascii="Arial" w:hAnsi="Arial" w:cs="Arial"/>
        </w:rPr>
        <w:t>eKogui</w:t>
      </w:r>
      <w:r w:rsidR="00F47492" w:rsidRPr="00F47492">
        <w:rPr>
          <w:rFonts w:ascii="Arial" w:hAnsi="Arial" w:cs="Arial"/>
        </w:rPr>
        <w:t xml:space="preserve"> en el que participó un funcionario de la Oficina Asesora Jurídica.</w:t>
      </w:r>
    </w:p>
    <w:p w:rsidR="00F47492" w:rsidRDefault="00F47492" w:rsidP="00F47492">
      <w:pPr>
        <w:tabs>
          <w:tab w:val="left" w:pos="142"/>
        </w:tabs>
        <w:autoSpaceDE w:val="0"/>
        <w:autoSpaceDN w:val="0"/>
        <w:adjustRightInd w:val="0"/>
        <w:spacing w:before="240" w:after="0"/>
        <w:ind w:left="142"/>
        <w:jc w:val="both"/>
        <w:rPr>
          <w:rFonts w:ascii="Arial" w:hAnsi="Arial" w:cs="Arial"/>
        </w:rPr>
      </w:pPr>
      <w:r w:rsidRPr="00F47492">
        <w:rPr>
          <w:rFonts w:ascii="Arial" w:hAnsi="Arial" w:cs="Arial"/>
        </w:rPr>
        <w:t>Posterior a la entrada en vigencia de la plataforma, se contó con la presencia de un funcionario de la ANDJE en la entidad y se hizo prueba de registro de un proceso.</w:t>
      </w:r>
    </w:p>
    <w:p w:rsidR="00F47492" w:rsidRDefault="00452E71" w:rsidP="00452E71">
      <w:pPr>
        <w:pStyle w:val="Prrafodelista"/>
        <w:numPr>
          <w:ilvl w:val="1"/>
          <w:numId w:val="6"/>
        </w:numPr>
        <w:autoSpaceDE w:val="0"/>
        <w:autoSpaceDN w:val="0"/>
        <w:adjustRightInd w:val="0"/>
        <w:spacing w:before="240" w:after="0"/>
        <w:ind w:left="567" w:hanging="425"/>
        <w:jc w:val="both"/>
        <w:rPr>
          <w:rFonts w:ascii="Arial" w:hAnsi="Arial" w:cs="Arial"/>
          <w:b/>
        </w:rPr>
      </w:pPr>
      <w:r w:rsidRPr="00452E71">
        <w:rPr>
          <w:rFonts w:ascii="Arial" w:hAnsi="Arial" w:cs="Arial"/>
          <w:b/>
        </w:rPr>
        <w:t>Demandas o solicitudes de conciliación para la entidad durante la vigencia de la certificación</w:t>
      </w:r>
    </w:p>
    <w:p w:rsidR="005C63DA" w:rsidRPr="00452E71" w:rsidRDefault="005C63DA" w:rsidP="005C63DA">
      <w:pPr>
        <w:pStyle w:val="Prrafodelista"/>
        <w:autoSpaceDE w:val="0"/>
        <w:autoSpaceDN w:val="0"/>
        <w:adjustRightInd w:val="0"/>
        <w:spacing w:before="240" w:after="0"/>
        <w:ind w:left="567"/>
        <w:jc w:val="both"/>
        <w:rPr>
          <w:rFonts w:ascii="Arial" w:hAnsi="Arial" w:cs="Arial"/>
          <w:b/>
        </w:rPr>
      </w:pPr>
    </w:p>
    <w:p w:rsidR="00452E71" w:rsidRDefault="00452E71" w:rsidP="005C63DA">
      <w:pPr>
        <w:pStyle w:val="Prrafodelista"/>
        <w:numPr>
          <w:ilvl w:val="2"/>
          <w:numId w:val="6"/>
        </w:numPr>
        <w:autoSpaceDE w:val="0"/>
        <w:autoSpaceDN w:val="0"/>
        <w:adjustRightInd w:val="0"/>
        <w:spacing w:before="240" w:after="0"/>
        <w:ind w:left="567" w:hanging="425"/>
        <w:jc w:val="both"/>
        <w:rPr>
          <w:rFonts w:ascii="Arial" w:hAnsi="Arial" w:cs="Arial"/>
          <w:b/>
        </w:rPr>
      </w:pPr>
      <w:r w:rsidRPr="00452E71">
        <w:rPr>
          <w:rFonts w:ascii="Arial" w:hAnsi="Arial" w:cs="Arial"/>
          <w:b/>
        </w:rPr>
        <w:t xml:space="preserve">Verificar que el 100% de los procesos (procesos activos) que lleva la entidad están radicados en el sistema: </w:t>
      </w:r>
    </w:p>
    <w:p w:rsidR="005C63DA" w:rsidRDefault="005C63DA" w:rsidP="005C63DA">
      <w:pPr>
        <w:pStyle w:val="Prrafodelista"/>
        <w:autoSpaceDE w:val="0"/>
        <w:autoSpaceDN w:val="0"/>
        <w:adjustRightInd w:val="0"/>
        <w:spacing w:before="240" w:after="0"/>
        <w:ind w:left="567"/>
        <w:jc w:val="both"/>
        <w:rPr>
          <w:rFonts w:ascii="Arial" w:hAnsi="Arial" w:cs="Arial"/>
        </w:rPr>
      </w:pPr>
    </w:p>
    <w:p w:rsidR="005C63DA" w:rsidRPr="005C63DA" w:rsidRDefault="00D705A1" w:rsidP="005C63DA">
      <w:pPr>
        <w:pStyle w:val="Prrafodelista"/>
        <w:autoSpaceDE w:val="0"/>
        <w:autoSpaceDN w:val="0"/>
        <w:adjustRightInd w:val="0"/>
        <w:spacing w:before="240" w:after="0"/>
        <w:ind w:left="567"/>
        <w:jc w:val="both"/>
        <w:rPr>
          <w:rFonts w:ascii="Arial" w:hAnsi="Arial" w:cs="Arial"/>
        </w:rPr>
      </w:pPr>
      <w:r>
        <w:rPr>
          <w:rFonts w:ascii="Arial" w:hAnsi="Arial" w:cs="Arial"/>
        </w:rPr>
        <w:lastRenderedPageBreak/>
        <w:t>S</w:t>
      </w:r>
      <w:r w:rsidR="005C63DA" w:rsidRPr="005C63DA">
        <w:rPr>
          <w:rFonts w:ascii="Arial" w:hAnsi="Arial" w:cs="Arial"/>
        </w:rPr>
        <w:t xml:space="preserve">e observa que a la fecha hay </w:t>
      </w:r>
      <w:r w:rsidR="00C5780D">
        <w:rPr>
          <w:rFonts w:ascii="Arial" w:hAnsi="Arial" w:cs="Arial"/>
        </w:rPr>
        <w:t>2</w:t>
      </w:r>
      <w:r w:rsidR="00E65CA0">
        <w:rPr>
          <w:rFonts w:ascii="Arial" w:hAnsi="Arial" w:cs="Arial"/>
        </w:rPr>
        <w:t>5</w:t>
      </w:r>
      <w:r w:rsidR="00C5780D">
        <w:rPr>
          <w:rFonts w:ascii="Arial" w:hAnsi="Arial" w:cs="Arial"/>
        </w:rPr>
        <w:t xml:space="preserve"> </w:t>
      </w:r>
      <w:r w:rsidR="005C63DA" w:rsidRPr="005C63DA">
        <w:rPr>
          <w:rFonts w:ascii="Arial" w:hAnsi="Arial" w:cs="Arial"/>
        </w:rPr>
        <w:t xml:space="preserve">procesos judiciales, distribuidos así: </w:t>
      </w:r>
      <w:r w:rsidR="00EB3A5A">
        <w:rPr>
          <w:rFonts w:ascii="Arial" w:hAnsi="Arial" w:cs="Arial"/>
        </w:rPr>
        <w:t>(</w:t>
      </w:r>
      <w:r w:rsidR="005C63DA" w:rsidRPr="005C63DA">
        <w:rPr>
          <w:rFonts w:ascii="Arial" w:hAnsi="Arial" w:cs="Arial"/>
        </w:rPr>
        <w:t>1) acción de rep</w:t>
      </w:r>
      <w:r w:rsidR="00E65CA0">
        <w:rPr>
          <w:rFonts w:ascii="Arial" w:hAnsi="Arial" w:cs="Arial"/>
        </w:rPr>
        <w:t xml:space="preserve">etición que instauró la SSF y </w:t>
      </w:r>
      <w:r w:rsidR="00EB3A5A">
        <w:rPr>
          <w:rFonts w:ascii="Arial" w:hAnsi="Arial" w:cs="Arial"/>
        </w:rPr>
        <w:t>(</w:t>
      </w:r>
      <w:r w:rsidR="00E65CA0">
        <w:rPr>
          <w:rFonts w:ascii="Arial" w:hAnsi="Arial" w:cs="Arial"/>
        </w:rPr>
        <w:t>24</w:t>
      </w:r>
      <w:r w:rsidR="00EB3A5A">
        <w:rPr>
          <w:rFonts w:ascii="Arial" w:hAnsi="Arial" w:cs="Arial"/>
        </w:rPr>
        <w:t>)</w:t>
      </w:r>
      <w:r w:rsidR="005C63DA" w:rsidRPr="005C63DA">
        <w:rPr>
          <w:rFonts w:ascii="Arial" w:hAnsi="Arial" w:cs="Arial"/>
        </w:rPr>
        <w:t xml:space="preserve"> procesos en contra de la SSF o en la que ha sido vinculada, que son:</w:t>
      </w:r>
    </w:p>
    <w:p w:rsidR="005C63DA" w:rsidRPr="005C63DA" w:rsidRDefault="005C63DA" w:rsidP="005C63DA">
      <w:pPr>
        <w:pStyle w:val="Prrafodelista"/>
        <w:autoSpaceDE w:val="0"/>
        <w:autoSpaceDN w:val="0"/>
        <w:adjustRightInd w:val="0"/>
        <w:spacing w:before="240" w:after="0"/>
        <w:ind w:left="567"/>
        <w:jc w:val="both"/>
        <w:rPr>
          <w:rFonts w:ascii="Arial" w:hAnsi="Arial" w:cs="Arial"/>
        </w:rPr>
      </w:pPr>
      <w:r w:rsidRPr="005C63DA">
        <w:rPr>
          <w:rFonts w:ascii="Arial" w:hAnsi="Arial" w:cs="Arial"/>
        </w:rPr>
        <w:t xml:space="preserve">Nulidad y </w:t>
      </w:r>
      <w:r w:rsidR="00E65CA0">
        <w:rPr>
          <w:rFonts w:ascii="Arial" w:hAnsi="Arial" w:cs="Arial"/>
        </w:rPr>
        <w:t>restablecimiento del derecho</w:t>
      </w:r>
      <w:r w:rsidR="00E65CA0">
        <w:rPr>
          <w:rFonts w:ascii="Arial" w:hAnsi="Arial" w:cs="Arial"/>
        </w:rPr>
        <w:tab/>
      </w:r>
      <w:r w:rsidR="00E65CA0">
        <w:rPr>
          <w:rFonts w:ascii="Arial" w:hAnsi="Arial" w:cs="Arial"/>
        </w:rPr>
        <w:tab/>
        <w:t>15</w:t>
      </w:r>
    </w:p>
    <w:p w:rsidR="005C63DA" w:rsidRPr="005C63DA" w:rsidRDefault="005C63DA" w:rsidP="005C63DA">
      <w:pPr>
        <w:pStyle w:val="Prrafodelista"/>
        <w:autoSpaceDE w:val="0"/>
        <w:autoSpaceDN w:val="0"/>
        <w:adjustRightInd w:val="0"/>
        <w:spacing w:before="240" w:after="0"/>
        <w:ind w:left="567"/>
        <w:jc w:val="both"/>
        <w:rPr>
          <w:rFonts w:ascii="Arial" w:hAnsi="Arial" w:cs="Arial"/>
        </w:rPr>
      </w:pPr>
      <w:r w:rsidRPr="005C63DA">
        <w:rPr>
          <w:rFonts w:ascii="Arial" w:hAnsi="Arial" w:cs="Arial"/>
        </w:rPr>
        <w:t>Acción popular</w:t>
      </w:r>
      <w:r w:rsidRPr="005C63DA">
        <w:rPr>
          <w:rFonts w:ascii="Arial" w:hAnsi="Arial" w:cs="Arial"/>
        </w:rPr>
        <w:tab/>
      </w:r>
      <w:r w:rsidRPr="005C63DA">
        <w:rPr>
          <w:rFonts w:ascii="Arial" w:hAnsi="Arial" w:cs="Arial"/>
        </w:rPr>
        <w:tab/>
      </w:r>
      <w:r w:rsidRPr="005C63DA">
        <w:rPr>
          <w:rFonts w:ascii="Arial" w:hAnsi="Arial" w:cs="Arial"/>
        </w:rPr>
        <w:tab/>
      </w:r>
      <w:r w:rsidRPr="005C63DA">
        <w:rPr>
          <w:rFonts w:ascii="Arial" w:hAnsi="Arial" w:cs="Arial"/>
        </w:rPr>
        <w:tab/>
        <w:t xml:space="preserve">            </w:t>
      </w:r>
      <w:r w:rsidR="00E65CA0">
        <w:rPr>
          <w:rFonts w:ascii="Arial" w:hAnsi="Arial" w:cs="Arial"/>
        </w:rPr>
        <w:tab/>
        <w:t xml:space="preserve"> 3</w:t>
      </w:r>
    </w:p>
    <w:p w:rsidR="005C63DA" w:rsidRPr="005C63DA" w:rsidRDefault="005C63DA" w:rsidP="005C63DA">
      <w:pPr>
        <w:pStyle w:val="Prrafodelista"/>
        <w:autoSpaceDE w:val="0"/>
        <w:autoSpaceDN w:val="0"/>
        <w:adjustRightInd w:val="0"/>
        <w:spacing w:before="240" w:after="0"/>
        <w:ind w:left="567"/>
        <w:jc w:val="both"/>
        <w:rPr>
          <w:rFonts w:ascii="Arial" w:hAnsi="Arial" w:cs="Arial"/>
        </w:rPr>
      </w:pPr>
      <w:r w:rsidRPr="005C63DA">
        <w:rPr>
          <w:rFonts w:ascii="Arial" w:hAnsi="Arial" w:cs="Arial"/>
        </w:rPr>
        <w:t xml:space="preserve">Nulidad </w:t>
      </w:r>
      <w:r w:rsidRPr="005C63DA">
        <w:rPr>
          <w:rFonts w:ascii="Arial" w:hAnsi="Arial" w:cs="Arial"/>
        </w:rPr>
        <w:tab/>
      </w:r>
      <w:r w:rsidRPr="005C63DA">
        <w:rPr>
          <w:rFonts w:ascii="Arial" w:hAnsi="Arial" w:cs="Arial"/>
        </w:rPr>
        <w:tab/>
      </w:r>
      <w:r w:rsidRPr="005C63DA">
        <w:rPr>
          <w:rFonts w:ascii="Arial" w:hAnsi="Arial" w:cs="Arial"/>
        </w:rPr>
        <w:tab/>
      </w:r>
      <w:r w:rsidRPr="005C63DA">
        <w:rPr>
          <w:rFonts w:ascii="Arial" w:hAnsi="Arial" w:cs="Arial"/>
        </w:rPr>
        <w:tab/>
      </w:r>
      <w:r w:rsidRPr="005C63DA">
        <w:rPr>
          <w:rFonts w:ascii="Arial" w:hAnsi="Arial" w:cs="Arial"/>
        </w:rPr>
        <w:tab/>
        <w:t xml:space="preserve">             </w:t>
      </w:r>
      <w:r w:rsidR="00C5780D">
        <w:rPr>
          <w:rFonts w:ascii="Arial" w:hAnsi="Arial" w:cs="Arial"/>
        </w:rPr>
        <w:tab/>
        <w:t xml:space="preserve"> 3</w:t>
      </w:r>
    </w:p>
    <w:p w:rsidR="005C63DA" w:rsidRPr="005C63DA" w:rsidRDefault="005C63DA" w:rsidP="005C63DA">
      <w:pPr>
        <w:pStyle w:val="Prrafodelista"/>
        <w:autoSpaceDE w:val="0"/>
        <w:autoSpaceDN w:val="0"/>
        <w:adjustRightInd w:val="0"/>
        <w:spacing w:before="240" w:after="0"/>
        <w:ind w:left="567"/>
        <w:jc w:val="both"/>
        <w:rPr>
          <w:rFonts w:ascii="Arial" w:hAnsi="Arial" w:cs="Arial"/>
        </w:rPr>
      </w:pPr>
      <w:r w:rsidRPr="005C63DA">
        <w:rPr>
          <w:rFonts w:ascii="Arial" w:hAnsi="Arial" w:cs="Arial"/>
        </w:rPr>
        <w:t xml:space="preserve">Reparación directa </w:t>
      </w:r>
      <w:r w:rsidRPr="005C63DA">
        <w:rPr>
          <w:rFonts w:ascii="Arial" w:hAnsi="Arial" w:cs="Arial"/>
        </w:rPr>
        <w:tab/>
      </w:r>
      <w:r w:rsidRPr="005C63DA">
        <w:rPr>
          <w:rFonts w:ascii="Arial" w:hAnsi="Arial" w:cs="Arial"/>
        </w:rPr>
        <w:tab/>
      </w:r>
      <w:r w:rsidRPr="005C63DA">
        <w:rPr>
          <w:rFonts w:ascii="Arial" w:hAnsi="Arial" w:cs="Arial"/>
        </w:rPr>
        <w:tab/>
      </w:r>
      <w:r w:rsidRPr="005C63DA">
        <w:rPr>
          <w:rFonts w:ascii="Arial" w:hAnsi="Arial" w:cs="Arial"/>
        </w:rPr>
        <w:tab/>
        <w:t xml:space="preserve"> </w:t>
      </w:r>
      <w:r w:rsidR="00C5780D">
        <w:rPr>
          <w:rFonts w:ascii="Arial" w:hAnsi="Arial" w:cs="Arial"/>
        </w:rPr>
        <w:tab/>
        <w:t xml:space="preserve"> </w:t>
      </w:r>
      <w:r w:rsidRPr="005C63DA">
        <w:rPr>
          <w:rFonts w:ascii="Arial" w:hAnsi="Arial" w:cs="Arial"/>
        </w:rPr>
        <w:t>1</w:t>
      </w:r>
      <w:r w:rsidRPr="005C63DA">
        <w:rPr>
          <w:rFonts w:ascii="Arial" w:hAnsi="Arial" w:cs="Arial"/>
        </w:rPr>
        <w:tab/>
        <w:t xml:space="preserve"> </w:t>
      </w:r>
    </w:p>
    <w:p w:rsidR="005C63DA" w:rsidRPr="005C63DA" w:rsidRDefault="005C63DA" w:rsidP="005C63DA">
      <w:pPr>
        <w:pStyle w:val="Prrafodelista"/>
        <w:autoSpaceDE w:val="0"/>
        <w:autoSpaceDN w:val="0"/>
        <w:adjustRightInd w:val="0"/>
        <w:spacing w:before="240" w:after="0"/>
        <w:ind w:left="567"/>
        <w:jc w:val="both"/>
        <w:rPr>
          <w:rFonts w:ascii="Arial" w:hAnsi="Arial" w:cs="Arial"/>
        </w:rPr>
      </w:pPr>
      <w:r w:rsidRPr="005C63DA">
        <w:rPr>
          <w:rFonts w:ascii="Arial" w:hAnsi="Arial" w:cs="Arial"/>
        </w:rPr>
        <w:t xml:space="preserve">Acción de cumplimiento         </w:t>
      </w:r>
      <w:r w:rsidRPr="005C63DA">
        <w:rPr>
          <w:rFonts w:ascii="Arial" w:hAnsi="Arial" w:cs="Arial"/>
        </w:rPr>
        <w:tab/>
      </w:r>
      <w:r w:rsidRPr="005C63DA">
        <w:rPr>
          <w:rFonts w:ascii="Arial" w:hAnsi="Arial" w:cs="Arial"/>
        </w:rPr>
        <w:tab/>
      </w:r>
      <w:r w:rsidRPr="005C63DA">
        <w:rPr>
          <w:rFonts w:ascii="Arial" w:hAnsi="Arial" w:cs="Arial"/>
        </w:rPr>
        <w:tab/>
        <w:t xml:space="preserve"> </w:t>
      </w:r>
      <w:r w:rsidR="00C5780D">
        <w:rPr>
          <w:rFonts w:ascii="Arial" w:hAnsi="Arial" w:cs="Arial"/>
        </w:rPr>
        <w:tab/>
        <w:t xml:space="preserve"> </w:t>
      </w:r>
      <w:r w:rsidRPr="005C63DA">
        <w:rPr>
          <w:rFonts w:ascii="Arial" w:hAnsi="Arial" w:cs="Arial"/>
        </w:rPr>
        <w:t>1</w:t>
      </w:r>
      <w:r w:rsidRPr="005C63DA">
        <w:rPr>
          <w:rFonts w:ascii="Arial" w:hAnsi="Arial" w:cs="Arial"/>
        </w:rPr>
        <w:tab/>
        <w:t xml:space="preserve"> </w:t>
      </w:r>
    </w:p>
    <w:p w:rsidR="00C5780D" w:rsidRDefault="005C63DA" w:rsidP="00C5780D">
      <w:pPr>
        <w:pStyle w:val="Prrafodelista"/>
        <w:autoSpaceDE w:val="0"/>
        <w:autoSpaceDN w:val="0"/>
        <w:adjustRightInd w:val="0"/>
        <w:spacing w:before="240" w:after="0"/>
        <w:ind w:left="567"/>
        <w:jc w:val="both"/>
        <w:rPr>
          <w:rFonts w:ascii="Arial" w:hAnsi="Arial" w:cs="Arial"/>
        </w:rPr>
      </w:pPr>
      <w:r w:rsidRPr="005C63DA">
        <w:rPr>
          <w:rFonts w:ascii="Arial" w:hAnsi="Arial" w:cs="Arial"/>
        </w:rPr>
        <w:t>Acción de grupo</w:t>
      </w:r>
      <w:r w:rsidRPr="005C63DA">
        <w:rPr>
          <w:rFonts w:ascii="Arial" w:hAnsi="Arial" w:cs="Arial"/>
        </w:rPr>
        <w:tab/>
      </w:r>
      <w:r w:rsidRPr="005C63DA">
        <w:rPr>
          <w:rFonts w:ascii="Arial" w:hAnsi="Arial" w:cs="Arial"/>
        </w:rPr>
        <w:tab/>
      </w:r>
      <w:r w:rsidRPr="005C63DA">
        <w:rPr>
          <w:rFonts w:ascii="Arial" w:hAnsi="Arial" w:cs="Arial"/>
        </w:rPr>
        <w:tab/>
      </w:r>
      <w:r w:rsidRPr="005C63DA">
        <w:rPr>
          <w:rFonts w:ascii="Arial" w:hAnsi="Arial" w:cs="Arial"/>
        </w:rPr>
        <w:tab/>
      </w:r>
      <w:r w:rsidRPr="005C63DA">
        <w:rPr>
          <w:rFonts w:ascii="Arial" w:hAnsi="Arial" w:cs="Arial"/>
        </w:rPr>
        <w:tab/>
        <w:t xml:space="preserve"> 2</w:t>
      </w:r>
      <w:r w:rsidRPr="005C63DA">
        <w:rPr>
          <w:rFonts w:ascii="Arial" w:hAnsi="Arial" w:cs="Arial"/>
        </w:rPr>
        <w:tab/>
      </w:r>
    </w:p>
    <w:p w:rsidR="00C5780D" w:rsidRDefault="00C5780D" w:rsidP="00C5780D">
      <w:pPr>
        <w:pStyle w:val="Prrafodelista"/>
        <w:autoSpaceDE w:val="0"/>
        <w:autoSpaceDN w:val="0"/>
        <w:adjustRightInd w:val="0"/>
        <w:spacing w:before="240" w:after="0"/>
        <w:ind w:left="567"/>
        <w:jc w:val="both"/>
        <w:rPr>
          <w:rFonts w:ascii="Arial" w:hAnsi="Arial" w:cs="Arial"/>
        </w:rPr>
      </w:pPr>
    </w:p>
    <w:p w:rsidR="002C004F" w:rsidRPr="00C5780D" w:rsidRDefault="00C5780D" w:rsidP="00C5780D">
      <w:pPr>
        <w:pStyle w:val="Prrafodelista"/>
        <w:autoSpaceDE w:val="0"/>
        <w:autoSpaceDN w:val="0"/>
        <w:adjustRightInd w:val="0"/>
        <w:spacing w:before="240" w:after="0"/>
        <w:ind w:left="567"/>
        <w:jc w:val="both"/>
        <w:rPr>
          <w:rFonts w:ascii="Arial" w:hAnsi="Arial" w:cs="Arial"/>
        </w:rPr>
      </w:pPr>
      <w:r>
        <w:rPr>
          <w:rFonts w:ascii="Arial" w:hAnsi="Arial" w:cs="Arial"/>
        </w:rPr>
        <w:t>L</w:t>
      </w:r>
      <w:r w:rsidR="002C004F" w:rsidRPr="00C5780D">
        <w:rPr>
          <w:rFonts w:ascii="Arial" w:hAnsi="Arial" w:cs="Arial"/>
        </w:rPr>
        <w:t xml:space="preserve">a totalidad de los procesos adelantados por la </w:t>
      </w:r>
      <w:r w:rsidR="005C63DA" w:rsidRPr="00C5780D">
        <w:rPr>
          <w:rFonts w:ascii="Arial" w:hAnsi="Arial" w:cs="Arial"/>
        </w:rPr>
        <w:t>Superinten</w:t>
      </w:r>
      <w:r>
        <w:rPr>
          <w:rFonts w:ascii="Arial" w:hAnsi="Arial" w:cs="Arial"/>
        </w:rPr>
        <w:t>dencia del Subsidio Familiar, de acuerdo a</w:t>
      </w:r>
      <w:r w:rsidR="002C004F" w:rsidRPr="00C5780D">
        <w:rPr>
          <w:rFonts w:ascii="Arial" w:hAnsi="Arial" w:cs="Arial"/>
        </w:rPr>
        <w:t xml:space="preserve"> la información suministrada por la </w:t>
      </w:r>
      <w:r w:rsidR="005C63DA" w:rsidRPr="00C5780D">
        <w:rPr>
          <w:rFonts w:ascii="Arial" w:hAnsi="Arial" w:cs="Arial"/>
        </w:rPr>
        <w:t>Oficina Asesora Jurídica</w:t>
      </w:r>
      <w:r w:rsidR="002C004F" w:rsidRPr="00C5780D">
        <w:rPr>
          <w:rFonts w:ascii="Arial" w:hAnsi="Arial" w:cs="Arial"/>
        </w:rPr>
        <w:t xml:space="preserve"> en </w:t>
      </w:r>
      <w:r w:rsidR="005C63DA" w:rsidRPr="00C5780D">
        <w:rPr>
          <w:rFonts w:ascii="Arial" w:hAnsi="Arial" w:cs="Arial"/>
        </w:rPr>
        <w:t>la matriz de control de visitas a despachos judiciales</w:t>
      </w:r>
      <w:r w:rsidR="002C004F" w:rsidRPr="00C5780D">
        <w:rPr>
          <w:rFonts w:ascii="Arial" w:hAnsi="Arial" w:cs="Arial"/>
        </w:rPr>
        <w:t xml:space="preserve">; </w:t>
      </w:r>
      <w:r w:rsidR="009262E5">
        <w:rPr>
          <w:rFonts w:ascii="Arial" w:hAnsi="Arial" w:cs="Arial"/>
        </w:rPr>
        <w:t xml:space="preserve">se concluye que el </w:t>
      </w:r>
      <w:r w:rsidR="00E65CA0">
        <w:rPr>
          <w:rFonts w:ascii="Arial" w:hAnsi="Arial" w:cs="Arial"/>
        </w:rPr>
        <w:t>100</w:t>
      </w:r>
      <w:r w:rsidR="00383DFF">
        <w:rPr>
          <w:rFonts w:ascii="Arial" w:hAnsi="Arial" w:cs="Arial"/>
        </w:rPr>
        <w:t>%</w:t>
      </w:r>
      <w:r w:rsidR="002C004F" w:rsidRPr="00C5780D">
        <w:rPr>
          <w:rFonts w:ascii="Arial" w:hAnsi="Arial" w:cs="Arial"/>
        </w:rPr>
        <w:t xml:space="preserve"> de estos se encuentran registrados en el aplicativo </w:t>
      </w:r>
      <w:r w:rsidR="00E65CA0" w:rsidRPr="00E65CA0">
        <w:rPr>
          <w:rFonts w:ascii="Arial" w:hAnsi="Arial" w:cs="Arial"/>
        </w:rPr>
        <w:t>eKogui</w:t>
      </w:r>
      <w:r w:rsidR="002C004F" w:rsidRPr="00C5780D">
        <w:rPr>
          <w:rFonts w:ascii="Arial" w:hAnsi="Arial" w:cs="Arial"/>
        </w:rPr>
        <w:t>.</w:t>
      </w:r>
    </w:p>
    <w:p w:rsidR="002C004F" w:rsidRPr="002C004F" w:rsidRDefault="002C004F" w:rsidP="002C004F">
      <w:pPr>
        <w:pStyle w:val="Prrafodelista"/>
        <w:autoSpaceDE w:val="0"/>
        <w:autoSpaceDN w:val="0"/>
        <w:adjustRightInd w:val="0"/>
        <w:spacing w:before="240" w:after="0"/>
        <w:ind w:left="1800"/>
        <w:jc w:val="both"/>
        <w:rPr>
          <w:rFonts w:ascii="Arial" w:hAnsi="Arial" w:cs="Arial"/>
        </w:rPr>
      </w:pPr>
    </w:p>
    <w:p w:rsidR="00452E71" w:rsidRDefault="00452E71" w:rsidP="000453CD">
      <w:pPr>
        <w:pStyle w:val="Prrafodelista"/>
        <w:numPr>
          <w:ilvl w:val="2"/>
          <w:numId w:val="6"/>
        </w:numPr>
        <w:autoSpaceDE w:val="0"/>
        <w:autoSpaceDN w:val="0"/>
        <w:adjustRightInd w:val="0"/>
        <w:spacing w:before="240" w:after="0"/>
        <w:ind w:left="567" w:hanging="425"/>
        <w:jc w:val="both"/>
        <w:rPr>
          <w:rFonts w:ascii="Arial" w:hAnsi="Arial" w:cs="Arial"/>
          <w:b/>
        </w:rPr>
      </w:pPr>
      <w:r w:rsidRPr="00452E71">
        <w:rPr>
          <w:rFonts w:ascii="Arial" w:hAnsi="Arial" w:cs="Arial"/>
          <w:b/>
        </w:rPr>
        <w:t>Verificar que el 100% de las solicitudes de conciliación allegadas a la entidad en el</w:t>
      </w:r>
      <w:r>
        <w:rPr>
          <w:rFonts w:ascii="Arial" w:hAnsi="Arial" w:cs="Arial"/>
          <w:b/>
        </w:rPr>
        <w:t xml:space="preserve"> </w:t>
      </w:r>
      <w:r w:rsidRPr="00452E71">
        <w:rPr>
          <w:rFonts w:ascii="Arial" w:hAnsi="Arial" w:cs="Arial"/>
          <w:b/>
        </w:rPr>
        <w:t>periodo de estudio están radicadas en el sistema</w:t>
      </w:r>
      <w:r>
        <w:rPr>
          <w:rFonts w:ascii="Arial" w:hAnsi="Arial" w:cs="Arial"/>
          <w:b/>
        </w:rPr>
        <w:t>:</w:t>
      </w:r>
    </w:p>
    <w:p w:rsidR="00E65CA0" w:rsidRDefault="00D705A1" w:rsidP="00D705A1">
      <w:pPr>
        <w:autoSpaceDE w:val="0"/>
        <w:autoSpaceDN w:val="0"/>
        <w:adjustRightInd w:val="0"/>
        <w:spacing w:before="240" w:after="0"/>
        <w:ind w:left="567"/>
        <w:jc w:val="both"/>
        <w:rPr>
          <w:rFonts w:ascii="Arial" w:hAnsi="Arial" w:cs="Arial"/>
        </w:rPr>
      </w:pPr>
      <w:r>
        <w:rPr>
          <w:rFonts w:ascii="Arial" w:hAnsi="Arial" w:cs="Arial"/>
        </w:rPr>
        <w:t>Se identificó que el 100% de las solicitudes de conciliación prejudicial se encuentran registradas en el sistema (4) activas</w:t>
      </w:r>
      <w:r w:rsidR="00EB3A5A">
        <w:rPr>
          <w:rFonts w:ascii="Arial" w:hAnsi="Arial" w:cs="Arial"/>
        </w:rPr>
        <w:t>, se verificó con la</w:t>
      </w:r>
      <w:r w:rsidR="008C6222">
        <w:rPr>
          <w:rFonts w:ascii="Arial" w:hAnsi="Arial" w:cs="Arial"/>
        </w:rPr>
        <w:t xml:space="preserve"> información dada por la</w:t>
      </w:r>
      <w:r w:rsidR="00EB3A5A">
        <w:rPr>
          <w:rFonts w:ascii="Arial" w:hAnsi="Arial" w:cs="Arial"/>
        </w:rPr>
        <w:t xml:space="preserve"> Oficina Asesora Jurídica </w:t>
      </w:r>
      <w:r>
        <w:rPr>
          <w:rFonts w:ascii="Arial" w:hAnsi="Arial" w:cs="Arial"/>
        </w:rPr>
        <w:t>que se encuentran próximas a realizarse</w:t>
      </w:r>
      <w:r w:rsidR="00EB3A5A">
        <w:rPr>
          <w:rFonts w:ascii="Arial" w:hAnsi="Arial" w:cs="Arial"/>
        </w:rPr>
        <w:t>.</w:t>
      </w:r>
    </w:p>
    <w:p w:rsidR="00452E71" w:rsidRDefault="00452E71" w:rsidP="002C7349">
      <w:pPr>
        <w:pStyle w:val="Prrafodelista"/>
        <w:numPr>
          <w:ilvl w:val="2"/>
          <w:numId w:val="6"/>
        </w:numPr>
        <w:autoSpaceDE w:val="0"/>
        <w:autoSpaceDN w:val="0"/>
        <w:adjustRightInd w:val="0"/>
        <w:spacing w:before="240" w:after="0"/>
        <w:ind w:left="142" w:firstLine="0"/>
        <w:jc w:val="both"/>
        <w:rPr>
          <w:rFonts w:ascii="Arial" w:hAnsi="Arial" w:cs="Arial"/>
          <w:b/>
        </w:rPr>
      </w:pPr>
      <w:r w:rsidRPr="00452E71">
        <w:rPr>
          <w:rFonts w:ascii="Arial" w:hAnsi="Arial" w:cs="Arial"/>
          <w:b/>
        </w:rPr>
        <w:t>Verificar que el 100% de los procesos que se terminaron, tienen registrado en el</w:t>
      </w:r>
      <w:r>
        <w:rPr>
          <w:rFonts w:ascii="Arial" w:hAnsi="Arial" w:cs="Arial"/>
          <w:b/>
        </w:rPr>
        <w:t xml:space="preserve"> </w:t>
      </w:r>
      <w:r w:rsidRPr="00452E71">
        <w:rPr>
          <w:rFonts w:ascii="Arial" w:hAnsi="Arial" w:cs="Arial"/>
          <w:b/>
        </w:rPr>
        <w:t>sistema el sentido del fallo (Favorable/Desfavorable)</w:t>
      </w:r>
      <w:r>
        <w:rPr>
          <w:rFonts w:ascii="Arial" w:hAnsi="Arial" w:cs="Arial"/>
          <w:b/>
        </w:rPr>
        <w:t>:</w:t>
      </w:r>
    </w:p>
    <w:p w:rsidR="002C7349" w:rsidRDefault="002C7349" w:rsidP="002C7349">
      <w:pPr>
        <w:pStyle w:val="Prrafodelista"/>
        <w:autoSpaceDE w:val="0"/>
        <w:autoSpaceDN w:val="0"/>
        <w:adjustRightInd w:val="0"/>
        <w:spacing w:before="240" w:after="0"/>
        <w:ind w:left="142"/>
        <w:jc w:val="both"/>
        <w:rPr>
          <w:rFonts w:ascii="Arial" w:hAnsi="Arial" w:cs="Arial"/>
        </w:rPr>
      </w:pPr>
    </w:p>
    <w:p w:rsidR="00A24860" w:rsidRDefault="00755D5C" w:rsidP="002C7349">
      <w:pPr>
        <w:pStyle w:val="Prrafodelista"/>
        <w:autoSpaceDE w:val="0"/>
        <w:autoSpaceDN w:val="0"/>
        <w:adjustRightInd w:val="0"/>
        <w:spacing w:before="240" w:after="0"/>
        <w:ind w:left="567"/>
        <w:jc w:val="both"/>
        <w:rPr>
          <w:rFonts w:ascii="Arial" w:hAnsi="Arial" w:cs="Arial"/>
        </w:rPr>
      </w:pPr>
      <w:r>
        <w:rPr>
          <w:rFonts w:ascii="Arial" w:hAnsi="Arial" w:cs="Arial"/>
        </w:rPr>
        <w:t xml:space="preserve">Se revisó el registro del sentido de fallo de los </w:t>
      </w:r>
      <w:r w:rsidR="00FA4D25">
        <w:rPr>
          <w:rFonts w:ascii="Arial" w:hAnsi="Arial" w:cs="Arial"/>
        </w:rPr>
        <w:t>cinco (5</w:t>
      </w:r>
      <w:r>
        <w:rPr>
          <w:rFonts w:ascii="Arial" w:hAnsi="Arial" w:cs="Arial"/>
        </w:rPr>
        <w:t xml:space="preserve">) procesos terminados en el semestre, </w:t>
      </w:r>
      <w:r w:rsidR="002C7349" w:rsidRPr="002C7349">
        <w:rPr>
          <w:rFonts w:ascii="Arial" w:hAnsi="Arial" w:cs="Arial"/>
        </w:rPr>
        <w:t>encontrando</w:t>
      </w:r>
      <w:r>
        <w:rPr>
          <w:rFonts w:ascii="Arial" w:hAnsi="Arial" w:cs="Arial"/>
        </w:rPr>
        <w:t xml:space="preserve"> q</w:t>
      </w:r>
      <w:r w:rsidR="002C7349" w:rsidRPr="002C7349">
        <w:rPr>
          <w:rFonts w:ascii="Arial" w:hAnsi="Arial" w:cs="Arial"/>
        </w:rPr>
        <w:t xml:space="preserve">ue </w:t>
      </w:r>
      <w:r>
        <w:rPr>
          <w:rFonts w:ascii="Arial" w:hAnsi="Arial" w:cs="Arial"/>
        </w:rPr>
        <w:t>el 100</w:t>
      </w:r>
      <w:r w:rsidR="002C7349" w:rsidRPr="002C7349">
        <w:rPr>
          <w:rFonts w:ascii="Arial" w:hAnsi="Arial" w:cs="Arial"/>
        </w:rPr>
        <w:t xml:space="preserve">% </w:t>
      </w:r>
      <w:r w:rsidR="00692D4F">
        <w:rPr>
          <w:rFonts w:ascii="Arial" w:hAnsi="Arial" w:cs="Arial"/>
        </w:rPr>
        <w:t xml:space="preserve">tiene </w:t>
      </w:r>
      <w:r w:rsidR="002C7349" w:rsidRPr="002C7349">
        <w:rPr>
          <w:rFonts w:ascii="Arial" w:hAnsi="Arial" w:cs="Arial"/>
        </w:rPr>
        <w:t>correctamente</w:t>
      </w:r>
      <w:r w:rsidR="00692D4F">
        <w:rPr>
          <w:rFonts w:ascii="Arial" w:hAnsi="Arial" w:cs="Arial"/>
        </w:rPr>
        <w:t xml:space="preserve"> diligenciado</w:t>
      </w:r>
      <w:r w:rsidR="002C7349" w:rsidRPr="002C7349">
        <w:rPr>
          <w:rFonts w:ascii="Arial" w:hAnsi="Arial" w:cs="Arial"/>
        </w:rPr>
        <w:t xml:space="preserve"> el sentido del fallo</w:t>
      </w:r>
      <w:r w:rsidR="00EB3A5A">
        <w:rPr>
          <w:rFonts w:ascii="Arial" w:hAnsi="Arial" w:cs="Arial"/>
        </w:rPr>
        <w:t>, (</w:t>
      </w:r>
      <w:r w:rsidR="00FA4D25">
        <w:rPr>
          <w:rFonts w:ascii="Arial" w:hAnsi="Arial" w:cs="Arial"/>
        </w:rPr>
        <w:t>4</w:t>
      </w:r>
      <w:r w:rsidR="00EB3A5A">
        <w:rPr>
          <w:rFonts w:ascii="Arial" w:hAnsi="Arial" w:cs="Arial"/>
        </w:rPr>
        <w:t>)</w:t>
      </w:r>
      <w:r w:rsidR="00692D4F">
        <w:rPr>
          <w:rFonts w:ascii="Arial" w:hAnsi="Arial" w:cs="Arial"/>
        </w:rPr>
        <w:t xml:space="preserve"> de </w:t>
      </w:r>
      <w:r w:rsidR="002C7349" w:rsidRPr="002C7349">
        <w:rPr>
          <w:rFonts w:ascii="Arial" w:hAnsi="Arial" w:cs="Arial"/>
        </w:rPr>
        <w:t>ellos favorables</w:t>
      </w:r>
      <w:r w:rsidR="00692D4F">
        <w:rPr>
          <w:rFonts w:ascii="Arial" w:hAnsi="Arial" w:cs="Arial"/>
        </w:rPr>
        <w:t xml:space="preserve"> y </w:t>
      </w:r>
      <w:r w:rsidR="00EB3A5A">
        <w:rPr>
          <w:rFonts w:ascii="Arial" w:hAnsi="Arial" w:cs="Arial"/>
        </w:rPr>
        <w:t>(</w:t>
      </w:r>
      <w:r w:rsidR="00692D4F">
        <w:rPr>
          <w:rFonts w:ascii="Arial" w:hAnsi="Arial" w:cs="Arial"/>
        </w:rPr>
        <w:t>1</w:t>
      </w:r>
      <w:r w:rsidR="00EB3A5A">
        <w:rPr>
          <w:rFonts w:ascii="Arial" w:hAnsi="Arial" w:cs="Arial"/>
        </w:rPr>
        <w:t>)</w:t>
      </w:r>
      <w:r w:rsidR="00692D4F">
        <w:rPr>
          <w:rFonts w:ascii="Arial" w:hAnsi="Arial" w:cs="Arial"/>
        </w:rPr>
        <w:t xml:space="preserve"> desfavorable</w:t>
      </w:r>
      <w:r w:rsidR="00EB3A5A">
        <w:rPr>
          <w:rFonts w:ascii="Arial" w:hAnsi="Arial" w:cs="Arial"/>
        </w:rPr>
        <w:t>.</w:t>
      </w:r>
      <w:r w:rsidR="00A24860">
        <w:rPr>
          <w:rFonts w:ascii="Arial" w:hAnsi="Arial" w:cs="Arial"/>
        </w:rPr>
        <w:t xml:space="preserve"> </w:t>
      </w:r>
    </w:p>
    <w:p w:rsidR="00A24860" w:rsidRDefault="00A24860" w:rsidP="002C7349">
      <w:pPr>
        <w:pStyle w:val="Prrafodelista"/>
        <w:autoSpaceDE w:val="0"/>
        <w:autoSpaceDN w:val="0"/>
        <w:adjustRightInd w:val="0"/>
        <w:spacing w:before="240" w:after="0"/>
        <w:ind w:left="567"/>
        <w:jc w:val="both"/>
        <w:rPr>
          <w:rFonts w:ascii="Arial" w:hAnsi="Arial" w:cs="Arial"/>
        </w:rPr>
      </w:pPr>
    </w:p>
    <w:p w:rsidR="00692D4F" w:rsidRDefault="00A24860" w:rsidP="002C7349">
      <w:pPr>
        <w:pStyle w:val="Prrafodelista"/>
        <w:autoSpaceDE w:val="0"/>
        <w:autoSpaceDN w:val="0"/>
        <w:adjustRightInd w:val="0"/>
        <w:spacing w:before="240" w:after="0"/>
        <w:ind w:left="567"/>
        <w:jc w:val="both"/>
        <w:rPr>
          <w:rFonts w:ascii="Arial" w:hAnsi="Arial" w:cs="Arial"/>
        </w:rPr>
      </w:pPr>
      <w:r>
        <w:rPr>
          <w:rFonts w:ascii="Arial" w:hAnsi="Arial" w:cs="Arial"/>
        </w:rPr>
        <w:t>Hay dos terminaciones anormales de los procesos</w:t>
      </w:r>
      <w:r w:rsidR="00FA4D25">
        <w:rPr>
          <w:rFonts w:ascii="Arial" w:hAnsi="Arial" w:cs="Arial"/>
        </w:rPr>
        <w:t>,</w:t>
      </w:r>
      <w:r>
        <w:rPr>
          <w:rFonts w:ascii="Arial" w:hAnsi="Arial" w:cs="Arial"/>
        </w:rPr>
        <w:t xml:space="preserve"> no requ</w:t>
      </w:r>
      <w:r w:rsidR="00EB3A5A">
        <w:rPr>
          <w:rFonts w:ascii="Arial" w:hAnsi="Arial" w:cs="Arial"/>
        </w:rPr>
        <w:t>ieren</w:t>
      </w:r>
      <w:r>
        <w:rPr>
          <w:rFonts w:ascii="Arial" w:hAnsi="Arial" w:cs="Arial"/>
        </w:rPr>
        <w:t xml:space="preserve"> el registro del fallo.</w:t>
      </w:r>
    </w:p>
    <w:p w:rsidR="002C7349" w:rsidRDefault="002C7349" w:rsidP="002C7349">
      <w:pPr>
        <w:pStyle w:val="Prrafodelista"/>
        <w:autoSpaceDE w:val="0"/>
        <w:autoSpaceDN w:val="0"/>
        <w:adjustRightInd w:val="0"/>
        <w:spacing w:before="240" w:after="0"/>
        <w:ind w:left="567"/>
        <w:jc w:val="both"/>
        <w:rPr>
          <w:rFonts w:ascii="Arial" w:hAnsi="Arial" w:cs="Arial"/>
          <w:b/>
        </w:rPr>
      </w:pPr>
      <w:r w:rsidRPr="002C7349">
        <w:rPr>
          <w:rFonts w:ascii="Arial" w:hAnsi="Arial" w:cs="Arial"/>
        </w:rPr>
        <w:t xml:space="preserve"> </w:t>
      </w:r>
    </w:p>
    <w:p w:rsidR="00452E71" w:rsidRDefault="00452E71" w:rsidP="009C79EB">
      <w:pPr>
        <w:pStyle w:val="Prrafodelista"/>
        <w:numPr>
          <w:ilvl w:val="2"/>
          <w:numId w:val="6"/>
        </w:numPr>
        <w:tabs>
          <w:tab w:val="left" w:pos="709"/>
        </w:tabs>
        <w:autoSpaceDE w:val="0"/>
        <w:autoSpaceDN w:val="0"/>
        <w:adjustRightInd w:val="0"/>
        <w:spacing w:before="240" w:after="0"/>
        <w:ind w:left="142" w:firstLine="0"/>
        <w:jc w:val="both"/>
        <w:rPr>
          <w:rFonts w:ascii="Arial" w:hAnsi="Arial" w:cs="Arial"/>
          <w:b/>
        </w:rPr>
      </w:pPr>
      <w:r w:rsidRPr="00452E71">
        <w:rPr>
          <w:rFonts w:ascii="Arial" w:hAnsi="Arial" w:cs="Arial"/>
          <w:b/>
        </w:rPr>
        <w:t>Verificar que el 100% de las solicitudes de conciliación analizadas por la entidad,</w:t>
      </w:r>
      <w:r>
        <w:rPr>
          <w:rFonts w:ascii="Arial" w:hAnsi="Arial" w:cs="Arial"/>
          <w:b/>
        </w:rPr>
        <w:t xml:space="preserve"> </w:t>
      </w:r>
      <w:r w:rsidR="009C79EB">
        <w:rPr>
          <w:rFonts w:ascii="Arial" w:hAnsi="Arial" w:cs="Arial"/>
          <w:b/>
        </w:rPr>
        <w:t xml:space="preserve">   </w:t>
      </w:r>
      <w:r w:rsidRPr="00452E71">
        <w:rPr>
          <w:rFonts w:ascii="Arial" w:hAnsi="Arial" w:cs="Arial"/>
          <w:b/>
        </w:rPr>
        <w:t>tienen registrado en el sistema si procedió la conciliación o no</w:t>
      </w:r>
      <w:r>
        <w:rPr>
          <w:rFonts w:ascii="Arial" w:hAnsi="Arial" w:cs="Arial"/>
          <w:b/>
        </w:rPr>
        <w:t>:</w:t>
      </w:r>
    </w:p>
    <w:p w:rsidR="002C7349" w:rsidRDefault="002C7349" w:rsidP="002C7349">
      <w:pPr>
        <w:pStyle w:val="Prrafodelista"/>
        <w:autoSpaceDE w:val="0"/>
        <w:autoSpaceDN w:val="0"/>
        <w:adjustRightInd w:val="0"/>
        <w:spacing w:before="240" w:after="0"/>
        <w:ind w:left="142"/>
        <w:jc w:val="both"/>
        <w:rPr>
          <w:rFonts w:ascii="Arial" w:hAnsi="Arial" w:cs="Arial"/>
          <w:b/>
        </w:rPr>
      </w:pPr>
    </w:p>
    <w:p w:rsidR="008A0B61" w:rsidRPr="00487CEB" w:rsidRDefault="00487CEB" w:rsidP="00487CEB">
      <w:pPr>
        <w:pStyle w:val="Prrafodelista"/>
        <w:autoSpaceDE w:val="0"/>
        <w:autoSpaceDN w:val="0"/>
        <w:adjustRightInd w:val="0"/>
        <w:spacing w:before="240" w:after="0"/>
        <w:ind w:left="567"/>
        <w:jc w:val="both"/>
        <w:rPr>
          <w:rFonts w:ascii="Arial" w:hAnsi="Arial" w:cs="Arial"/>
        </w:rPr>
      </w:pPr>
      <w:r>
        <w:rPr>
          <w:rFonts w:ascii="Arial" w:hAnsi="Arial" w:cs="Arial"/>
        </w:rPr>
        <w:t xml:space="preserve">Se observó </w:t>
      </w:r>
      <w:r w:rsidRPr="00487CEB">
        <w:rPr>
          <w:rFonts w:ascii="Arial" w:hAnsi="Arial" w:cs="Arial"/>
        </w:rPr>
        <w:t>que el 100% de las solicitudes de conciliación prejudicial en las que intervino la O</w:t>
      </w:r>
      <w:r>
        <w:rPr>
          <w:rFonts w:ascii="Arial" w:hAnsi="Arial" w:cs="Arial"/>
        </w:rPr>
        <w:t xml:space="preserve">ficina </w:t>
      </w:r>
      <w:r w:rsidRPr="00487CEB">
        <w:rPr>
          <w:rFonts w:ascii="Arial" w:hAnsi="Arial" w:cs="Arial"/>
        </w:rPr>
        <w:t>A</w:t>
      </w:r>
      <w:r>
        <w:rPr>
          <w:rFonts w:ascii="Arial" w:hAnsi="Arial" w:cs="Arial"/>
        </w:rPr>
        <w:t xml:space="preserve">sesora </w:t>
      </w:r>
      <w:r w:rsidRPr="00487CEB">
        <w:rPr>
          <w:rFonts w:ascii="Arial" w:hAnsi="Arial" w:cs="Arial"/>
        </w:rPr>
        <w:t>J</w:t>
      </w:r>
      <w:r>
        <w:rPr>
          <w:rFonts w:ascii="Arial" w:hAnsi="Arial" w:cs="Arial"/>
        </w:rPr>
        <w:t xml:space="preserve">urídica en el primer semestre de 2015 </w:t>
      </w:r>
      <w:r w:rsidR="008A0B61" w:rsidRPr="00487CEB">
        <w:rPr>
          <w:rFonts w:ascii="Arial" w:hAnsi="Arial" w:cs="Arial"/>
        </w:rPr>
        <w:t>se encuentra</w:t>
      </w:r>
      <w:r w:rsidR="004A34DA" w:rsidRPr="00487CEB">
        <w:rPr>
          <w:rFonts w:ascii="Arial" w:hAnsi="Arial" w:cs="Arial"/>
        </w:rPr>
        <w:t xml:space="preserve"> </w:t>
      </w:r>
      <w:r w:rsidR="008A0B61" w:rsidRPr="00487CEB">
        <w:rPr>
          <w:rFonts w:ascii="Arial" w:hAnsi="Arial" w:cs="Arial"/>
        </w:rPr>
        <w:t>r</w:t>
      </w:r>
      <w:r w:rsidR="00A15543">
        <w:rPr>
          <w:rFonts w:ascii="Arial" w:hAnsi="Arial" w:cs="Arial"/>
        </w:rPr>
        <w:t>eportada</w:t>
      </w:r>
      <w:r w:rsidR="008A0B61" w:rsidRPr="00487CEB">
        <w:rPr>
          <w:rFonts w:ascii="Arial" w:hAnsi="Arial" w:cs="Arial"/>
        </w:rPr>
        <w:t xml:space="preserve"> la pro</w:t>
      </w:r>
      <w:r w:rsidR="005128CE">
        <w:rPr>
          <w:rFonts w:ascii="Arial" w:hAnsi="Arial" w:cs="Arial"/>
        </w:rPr>
        <w:t>cedencia de conciliación</w:t>
      </w:r>
      <w:r w:rsidR="00EF0030">
        <w:rPr>
          <w:rFonts w:ascii="Arial" w:hAnsi="Arial" w:cs="Arial"/>
        </w:rPr>
        <w:t xml:space="preserve"> </w:t>
      </w:r>
      <w:r w:rsidR="008C6222">
        <w:rPr>
          <w:rFonts w:ascii="Arial" w:hAnsi="Arial" w:cs="Arial"/>
        </w:rPr>
        <w:t>(</w:t>
      </w:r>
      <w:r>
        <w:rPr>
          <w:rFonts w:ascii="Arial" w:hAnsi="Arial" w:cs="Arial"/>
        </w:rPr>
        <w:t>1</w:t>
      </w:r>
      <w:r w:rsidR="008C6222">
        <w:rPr>
          <w:rFonts w:ascii="Arial" w:hAnsi="Arial" w:cs="Arial"/>
        </w:rPr>
        <w:t>)</w:t>
      </w:r>
      <w:r>
        <w:rPr>
          <w:rFonts w:ascii="Arial" w:hAnsi="Arial" w:cs="Arial"/>
        </w:rPr>
        <w:t xml:space="preserve"> caso</w:t>
      </w:r>
      <w:r w:rsidR="00A15543">
        <w:rPr>
          <w:rFonts w:ascii="Arial" w:hAnsi="Arial" w:cs="Arial"/>
        </w:rPr>
        <w:t xml:space="preserve"> terminado.</w:t>
      </w:r>
    </w:p>
    <w:p w:rsidR="002C7349" w:rsidRDefault="002C7349" w:rsidP="002C7349">
      <w:pPr>
        <w:pStyle w:val="Prrafodelista"/>
        <w:autoSpaceDE w:val="0"/>
        <w:autoSpaceDN w:val="0"/>
        <w:adjustRightInd w:val="0"/>
        <w:spacing w:before="240" w:after="0"/>
        <w:ind w:left="142"/>
        <w:jc w:val="both"/>
        <w:rPr>
          <w:rFonts w:ascii="Arial" w:hAnsi="Arial" w:cs="Arial"/>
          <w:b/>
        </w:rPr>
      </w:pPr>
    </w:p>
    <w:p w:rsidR="00452E71" w:rsidRDefault="00452E71" w:rsidP="00C12F7D">
      <w:pPr>
        <w:pStyle w:val="Prrafodelista"/>
        <w:numPr>
          <w:ilvl w:val="2"/>
          <w:numId w:val="6"/>
        </w:numPr>
        <w:autoSpaceDE w:val="0"/>
        <w:autoSpaceDN w:val="0"/>
        <w:adjustRightInd w:val="0"/>
        <w:spacing w:before="240" w:after="0"/>
        <w:ind w:left="567" w:hanging="425"/>
        <w:jc w:val="both"/>
        <w:rPr>
          <w:rFonts w:ascii="Arial" w:hAnsi="Arial" w:cs="Arial"/>
          <w:b/>
        </w:rPr>
      </w:pPr>
      <w:r w:rsidRPr="00452E71">
        <w:rPr>
          <w:rFonts w:ascii="Arial" w:hAnsi="Arial" w:cs="Arial"/>
          <w:b/>
        </w:rPr>
        <w:t>Verificar que el 100% de las sentencias en contra de la entidad que haya sido pagadas en su totalidad por la entidad, se hayan estudiado en sede del comité de conciliación con su correspondiente relación en el sistema con el proceso o conciliación que les dio</w:t>
      </w:r>
      <w:r>
        <w:rPr>
          <w:rFonts w:ascii="Arial" w:hAnsi="Arial" w:cs="Arial"/>
          <w:b/>
        </w:rPr>
        <w:t xml:space="preserve"> </w:t>
      </w:r>
      <w:r w:rsidRPr="00452E71">
        <w:rPr>
          <w:rFonts w:ascii="Arial" w:hAnsi="Arial" w:cs="Arial"/>
          <w:b/>
        </w:rPr>
        <w:t>origen</w:t>
      </w:r>
      <w:r>
        <w:rPr>
          <w:rFonts w:ascii="Arial" w:hAnsi="Arial" w:cs="Arial"/>
          <w:b/>
        </w:rPr>
        <w:t>:</w:t>
      </w:r>
    </w:p>
    <w:p w:rsidR="00C12F7D" w:rsidRPr="00C12F7D" w:rsidRDefault="00C12F7D" w:rsidP="00C12F7D">
      <w:pPr>
        <w:autoSpaceDE w:val="0"/>
        <w:autoSpaceDN w:val="0"/>
        <w:adjustRightInd w:val="0"/>
        <w:spacing w:before="240" w:after="0"/>
        <w:ind w:left="567"/>
        <w:jc w:val="both"/>
        <w:rPr>
          <w:rFonts w:ascii="Arial" w:hAnsi="Arial" w:cs="Arial"/>
        </w:rPr>
      </w:pPr>
      <w:r w:rsidRPr="00C12F7D">
        <w:rPr>
          <w:rFonts w:ascii="Arial" w:hAnsi="Arial" w:cs="Arial"/>
        </w:rPr>
        <w:t xml:space="preserve">Durante el periodo analizado la </w:t>
      </w:r>
      <w:r>
        <w:rPr>
          <w:rFonts w:ascii="Arial" w:hAnsi="Arial" w:cs="Arial"/>
        </w:rPr>
        <w:t>SSF</w:t>
      </w:r>
      <w:r w:rsidRPr="00C12F7D">
        <w:rPr>
          <w:rFonts w:ascii="Arial" w:hAnsi="Arial" w:cs="Arial"/>
        </w:rPr>
        <w:t xml:space="preserve"> </w:t>
      </w:r>
      <w:r w:rsidR="009C79EB" w:rsidRPr="009C79EB">
        <w:rPr>
          <w:rFonts w:ascii="Arial" w:hAnsi="Arial" w:cs="Arial"/>
        </w:rPr>
        <w:t>se</w:t>
      </w:r>
      <w:r w:rsidRPr="009C79EB">
        <w:rPr>
          <w:rFonts w:ascii="Arial" w:hAnsi="Arial" w:cs="Arial"/>
        </w:rPr>
        <w:t xml:space="preserve"> efectúo</w:t>
      </w:r>
      <w:r w:rsidR="009C79EB" w:rsidRPr="009C79EB">
        <w:rPr>
          <w:rFonts w:ascii="Arial" w:hAnsi="Arial" w:cs="Arial"/>
        </w:rPr>
        <w:t xml:space="preserve"> un</w:t>
      </w:r>
      <w:r w:rsidRPr="00C12F7D">
        <w:rPr>
          <w:rFonts w:ascii="Arial" w:hAnsi="Arial" w:cs="Arial"/>
        </w:rPr>
        <w:t xml:space="preserve"> pago por concepto de sentencia</w:t>
      </w:r>
      <w:r>
        <w:rPr>
          <w:rFonts w:ascii="Arial" w:hAnsi="Arial" w:cs="Arial"/>
        </w:rPr>
        <w:t xml:space="preserve"> </w:t>
      </w:r>
      <w:r w:rsidR="009C79EB">
        <w:rPr>
          <w:rFonts w:ascii="Arial" w:hAnsi="Arial" w:cs="Arial"/>
        </w:rPr>
        <w:t>desfavorable</w:t>
      </w:r>
      <w:r w:rsidR="00EF0030">
        <w:rPr>
          <w:rFonts w:ascii="Arial" w:hAnsi="Arial" w:cs="Arial"/>
        </w:rPr>
        <w:t>, se verificó que fue objeto en reunión del comité de conciliación, sin embargo se observa que no se encuentra relacionado con el respectivo proceso en el sistema</w:t>
      </w:r>
      <w:r w:rsidRPr="00C12F7D">
        <w:rPr>
          <w:rFonts w:ascii="Arial" w:hAnsi="Arial" w:cs="Arial"/>
        </w:rPr>
        <w:t>.</w:t>
      </w:r>
      <w:r w:rsidRPr="00C12F7D">
        <w:rPr>
          <w:rFonts w:ascii="Arial" w:hAnsi="Arial" w:cs="Arial"/>
        </w:rPr>
        <w:cr/>
      </w:r>
    </w:p>
    <w:p w:rsidR="00452E71" w:rsidRDefault="00452E71" w:rsidP="00BE067C">
      <w:pPr>
        <w:pStyle w:val="Prrafodelista"/>
        <w:numPr>
          <w:ilvl w:val="2"/>
          <w:numId w:val="6"/>
        </w:numPr>
        <w:autoSpaceDE w:val="0"/>
        <w:autoSpaceDN w:val="0"/>
        <w:adjustRightInd w:val="0"/>
        <w:spacing w:after="0"/>
        <w:ind w:left="709" w:hanging="567"/>
        <w:jc w:val="both"/>
        <w:rPr>
          <w:rFonts w:ascii="Arial" w:hAnsi="Arial" w:cs="Arial"/>
          <w:b/>
        </w:rPr>
      </w:pPr>
      <w:r w:rsidRPr="00452E71">
        <w:rPr>
          <w:rFonts w:ascii="Arial" w:hAnsi="Arial" w:cs="Arial"/>
          <w:b/>
        </w:rPr>
        <w:t>Verificar que el 100% de los procesos registrados en el sistema tengan provisión</w:t>
      </w:r>
      <w:r>
        <w:rPr>
          <w:rFonts w:ascii="Arial" w:hAnsi="Arial" w:cs="Arial"/>
          <w:b/>
        </w:rPr>
        <w:t xml:space="preserve"> </w:t>
      </w:r>
      <w:r w:rsidRPr="00452E71">
        <w:rPr>
          <w:rFonts w:ascii="Arial" w:hAnsi="Arial" w:cs="Arial"/>
          <w:b/>
        </w:rPr>
        <w:t>contable</w:t>
      </w:r>
      <w:r>
        <w:rPr>
          <w:rFonts w:ascii="Arial" w:hAnsi="Arial" w:cs="Arial"/>
          <w:b/>
        </w:rPr>
        <w:t>:</w:t>
      </w:r>
    </w:p>
    <w:p w:rsidR="00C12F7D" w:rsidRPr="00C12F7D" w:rsidRDefault="00C12F7D" w:rsidP="00C12F7D">
      <w:pPr>
        <w:pStyle w:val="Prrafodelista"/>
        <w:autoSpaceDE w:val="0"/>
        <w:autoSpaceDN w:val="0"/>
        <w:adjustRightInd w:val="0"/>
        <w:spacing w:before="240" w:after="0"/>
        <w:ind w:left="709"/>
        <w:jc w:val="both"/>
        <w:rPr>
          <w:rFonts w:ascii="Arial" w:hAnsi="Arial" w:cs="Arial"/>
        </w:rPr>
      </w:pPr>
    </w:p>
    <w:p w:rsidR="00C12F7D" w:rsidRDefault="007701E7" w:rsidP="00C12F7D">
      <w:pPr>
        <w:pStyle w:val="Prrafodelista"/>
        <w:autoSpaceDE w:val="0"/>
        <w:autoSpaceDN w:val="0"/>
        <w:adjustRightInd w:val="0"/>
        <w:spacing w:before="240" w:after="0"/>
        <w:ind w:left="709"/>
        <w:jc w:val="both"/>
        <w:rPr>
          <w:rFonts w:ascii="Arial" w:hAnsi="Arial" w:cs="Arial"/>
        </w:rPr>
      </w:pPr>
      <w:r>
        <w:rPr>
          <w:rFonts w:ascii="Arial" w:hAnsi="Arial" w:cs="Arial"/>
        </w:rPr>
        <w:t>De acuerdo</w:t>
      </w:r>
      <w:r w:rsidR="00C12F7D" w:rsidRPr="00C12F7D">
        <w:rPr>
          <w:rFonts w:ascii="Arial" w:hAnsi="Arial" w:cs="Arial"/>
        </w:rPr>
        <w:t xml:space="preserve"> </w:t>
      </w:r>
      <w:r>
        <w:rPr>
          <w:rFonts w:ascii="Arial" w:hAnsi="Arial" w:cs="Arial"/>
        </w:rPr>
        <w:t>al r</w:t>
      </w:r>
      <w:r w:rsidR="00C12F7D" w:rsidRPr="00C12F7D">
        <w:rPr>
          <w:rFonts w:ascii="Arial" w:hAnsi="Arial" w:cs="Arial"/>
        </w:rPr>
        <w:t>eporte</w:t>
      </w:r>
      <w:r>
        <w:rPr>
          <w:rFonts w:ascii="Arial" w:hAnsi="Arial" w:cs="Arial"/>
        </w:rPr>
        <w:t xml:space="preserve"> arrojado por el sistema </w:t>
      </w:r>
      <w:r w:rsidRPr="007701E7">
        <w:rPr>
          <w:rFonts w:ascii="Arial" w:hAnsi="Arial" w:cs="Arial"/>
        </w:rPr>
        <w:t>eKogui</w:t>
      </w:r>
      <w:r>
        <w:rPr>
          <w:rFonts w:ascii="Arial" w:hAnsi="Arial" w:cs="Arial"/>
        </w:rPr>
        <w:t xml:space="preserve"> de los</w:t>
      </w:r>
      <w:r w:rsidR="00C12F7D" w:rsidRPr="00C12F7D">
        <w:rPr>
          <w:rFonts w:ascii="Arial" w:hAnsi="Arial" w:cs="Arial"/>
        </w:rPr>
        <w:t xml:space="preserve"> Procesos Judiciales, </w:t>
      </w:r>
      <w:r>
        <w:rPr>
          <w:rFonts w:ascii="Arial" w:hAnsi="Arial" w:cs="Arial"/>
        </w:rPr>
        <w:t xml:space="preserve">se encuentra que </w:t>
      </w:r>
      <w:r w:rsidR="00C12F7D" w:rsidRPr="00C12F7D">
        <w:rPr>
          <w:rFonts w:ascii="Arial" w:hAnsi="Arial" w:cs="Arial"/>
        </w:rPr>
        <w:t>se ha asignado la provisión contable a</w:t>
      </w:r>
      <w:r w:rsidR="005128CE">
        <w:rPr>
          <w:rFonts w:ascii="Arial" w:hAnsi="Arial" w:cs="Arial"/>
        </w:rPr>
        <w:t xml:space="preserve"> todos </w:t>
      </w:r>
      <w:r w:rsidR="00C12F7D" w:rsidRPr="00C12F7D">
        <w:rPr>
          <w:rFonts w:ascii="Arial" w:hAnsi="Arial" w:cs="Arial"/>
        </w:rPr>
        <w:t xml:space="preserve">los procesos en los cuales interviene </w:t>
      </w:r>
      <w:r w:rsidR="00F8455C">
        <w:rPr>
          <w:rFonts w:ascii="Arial" w:hAnsi="Arial" w:cs="Arial"/>
        </w:rPr>
        <w:t>o se encuentra vinculada la entidad.</w:t>
      </w:r>
    </w:p>
    <w:p w:rsidR="00C12F7D" w:rsidRPr="00C12F7D" w:rsidRDefault="00C12F7D" w:rsidP="00C12F7D">
      <w:pPr>
        <w:pStyle w:val="Prrafodelista"/>
        <w:autoSpaceDE w:val="0"/>
        <w:autoSpaceDN w:val="0"/>
        <w:adjustRightInd w:val="0"/>
        <w:spacing w:before="240" w:after="0"/>
        <w:ind w:left="709"/>
        <w:jc w:val="both"/>
        <w:rPr>
          <w:rFonts w:ascii="Arial" w:hAnsi="Arial" w:cs="Arial"/>
        </w:rPr>
      </w:pPr>
    </w:p>
    <w:p w:rsidR="00452E71" w:rsidRDefault="00452E71" w:rsidP="00C12F7D">
      <w:pPr>
        <w:pStyle w:val="Prrafodelista"/>
        <w:numPr>
          <w:ilvl w:val="2"/>
          <w:numId w:val="6"/>
        </w:numPr>
        <w:autoSpaceDE w:val="0"/>
        <w:autoSpaceDN w:val="0"/>
        <w:adjustRightInd w:val="0"/>
        <w:spacing w:before="240" w:after="0"/>
        <w:ind w:left="709" w:hanging="567"/>
        <w:jc w:val="both"/>
        <w:rPr>
          <w:rFonts w:ascii="Arial" w:hAnsi="Arial" w:cs="Arial"/>
          <w:b/>
        </w:rPr>
      </w:pPr>
      <w:r w:rsidRPr="00452E71">
        <w:rPr>
          <w:rFonts w:ascii="Arial" w:hAnsi="Arial" w:cs="Arial"/>
          <w:b/>
        </w:rPr>
        <w:lastRenderedPageBreak/>
        <w:t>Verificar que el 100% de los procesos registrados en el sistema tengan calificación del</w:t>
      </w:r>
      <w:r>
        <w:rPr>
          <w:rFonts w:ascii="Arial" w:hAnsi="Arial" w:cs="Arial"/>
          <w:b/>
        </w:rPr>
        <w:t xml:space="preserve"> </w:t>
      </w:r>
      <w:r w:rsidRPr="00452E71">
        <w:rPr>
          <w:rFonts w:ascii="Arial" w:hAnsi="Arial" w:cs="Arial"/>
          <w:b/>
        </w:rPr>
        <w:t>riesgo</w:t>
      </w:r>
      <w:r>
        <w:rPr>
          <w:rFonts w:ascii="Arial" w:hAnsi="Arial" w:cs="Arial"/>
          <w:b/>
        </w:rPr>
        <w:t>:</w:t>
      </w:r>
    </w:p>
    <w:p w:rsidR="00C12F7D" w:rsidRDefault="00C12F7D" w:rsidP="00C12F7D">
      <w:pPr>
        <w:pStyle w:val="Prrafodelista"/>
        <w:autoSpaceDE w:val="0"/>
        <w:autoSpaceDN w:val="0"/>
        <w:adjustRightInd w:val="0"/>
        <w:spacing w:before="240" w:after="0"/>
        <w:ind w:left="709"/>
        <w:jc w:val="both"/>
        <w:rPr>
          <w:rFonts w:ascii="Arial" w:hAnsi="Arial" w:cs="Arial"/>
          <w:b/>
        </w:rPr>
      </w:pPr>
    </w:p>
    <w:p w:rsidR="00C12F7D" w:rsidRDefault="00CC131E" w:rsidP="00C12F7D">
      <w:pPr>
        <w:pStyle w:val="Prrafodelista"/>
        <w:autoSpaceDE w:val="0"/>
        <w:autoSpaceDN w:val="0"/>
        <w:adjustRightInd w:val="0"/>
        <w:spacing w:before="240" w:after="0"/>
        <w:ind w:left="709"/>
        <w:jc w:val="both"/>
        <w:rPr>
          <w:rFonts w:ascii="Arial" w:hAnsi="Arial" w:cs="Arial"/>
        </w:rPr>
      </w:pPr>
      <w:r w:rsidRPr="00CC131E">
        <w:rPr>
          <w:rFonts w:ascii="Arial" w:hAnsi="Arial" w:cs="Arial"/>
        </w:rPr>
        <w:t>De acuerdo al reporte arrojado por el sistema eKogui de los Procesos Jud</w:t>
      </w:r>
      <w:r>
        <w:rPr>
          <w:rFonts w:ascii="Arial" w:hAnsi="Arial" w:cs="Arial"/>
        </w:rPr>
        <w:t>iciales, se encuentra que no se ha calificado el riesgo</w:t>
      </w:r>
      <w:r w:rsidRPr="00CC131E">
        <w:rPr>
          <w:rFonts w:ascii="Arial" w:hAnsi="Arial" w:cs="Arial"/>
        </w:rPr>
        <w:t xml:space="preserve"> a (</w:t>
      </w:r>
      <w:r w:rsidR="005128CE">
        <w:rPr>
          <w:rFonts w:ascii="Arial" w:hAnsi="Arial" w:cs="Arial"/>
        </w:rPr>
        <w:t>5</w:t>
      </w:r>
      <w:r w:rsidRPr="00CC131E">
        <w:rPr>
          <w:rFonts w:ascii="Arial" w:hAnsi="Arial" w:cs="Arial"/>
        </w:rPr>
        <w:t>) de los procesos en los cuales interviene o se encuentra vinculada la entidad.</w:t>
      </w:r>
    </w:p>
    <w:p w:rsidR="00C12F7D" w:rsidRDefault="00C12F7D" w:rsidP="00C12F7D">
      <w:pPr>
        <w:pStyle w:val="Prrafodelista"/>
        <w:autoSpaceDE w:val="0"/>
        <w:autoSpaceDN w:val="0"/>
        <w:adjustRightInd w:val="0"/>
        <w:spacing w:before="240" w:after="0"/>
        <w:ind w:left="709"/>
        <w:jc w:val="both"/>
        <w:rPr>
          <w:rFonts w:ascii="Arial" w:hAnsi="Arial" w:cs="Arial"/>
          <w:b/>
        </w:rPr>
      </w:pPr>
    </w:p>
    <w:p w:rsidR="00F47492" w:rsidRDefault="00452E71" w:rsidP="00C12F7D">
      <w:pPr>
        <w:pStyle w:val="Prrafodelista"/>
        <w:numPr>
          <w:ilvl w:val="2"/>
          <w:numId w:val="6"/>
        </w:numPr>
        <w:autoSpaceDE w:val="0"/>
        <w:autoSpaceDN w:val="0"/>
        <w:adjustRightInd w:val="0"/>
        <w:spacing w:before="240" w:after="0"/>
        <w:ind w:left="709" w:hanging="567"/>
        <w:jc w:val="both"/>
        <w:rPr>
          <w:rFonts w:ascii="Arial" w:hAnsi="Arial" w:cs="Arial"/>
          <w:b/>
        </w:rPr>
      </w:pPr>
      <w:r w:rsidRPr="00C12F7D">
        <w:rPr>
          <w:rFonts w:ascii="Arial" w:hAnsi="Arial" w:cs="Arial"/>
          <w:b/>
        </w:rPr>
        <w:t xml:space="preserve">Verificar que el 100% de los casos estudiados en sede del comité de conciliación tengan sus fichas registradas en el sistema: </w:t>
      </w:r>
    </w:p>
    <w:p w:rsidR="00CC131E" w:rsidRDefault="00CC131E" w:rsidP="00C12F7D">
      <w:pPr>
        <w:autoSpaceDE w:val="0"/>
        <w:autoSpaceDN w:val="0"/>
        <w:adjustRightInd w:val="0"/>
        <w:spacing w:before="240" w:after="0"/>
        <w:ind w:left="709"/>
        <w:jc w:val="both"/>
        <w:rPr>
          <w:rFonts w:ascii="Arial" w:hAnsi="Arial" w:cs="Arial"/>
        </w:rPr>
      </w:pPr>
      <w:r>
        <w:rPr>
          <w:rFonts w:ascii="Arial" w:hAnsi="Arial" w:cs="Arial"/>
        </w:rPr>
        <w:t>Se informa por parte de la Oficina Asesora Jurídica que no han recibido capacitación en el tema del procedimiento para realizar el registro de fichas técnicas en el sistema, por lo que a la fecha se encuentra que no se ha realizado el cargue de lo respectivo.</w:t>
      </w:r>
    </w:p>
    <w:p w:rsidR="002C6BA2" w:rsidRDefault="002C6BA2" w:rsidP="00927B76">
      <w:pPr>
        <w:autoSpaceDE w:val="0"/>
        <w:autoSpaceDN w:val="0"/>
        <w:adjustRightInd w:val="0"/>
        <w:spacing w:after="0" w:line="240" w:lineRule="auto"/>
        <w:ind w:left="720"/>
        <w:jc w:val="both"/>
        <w:rPr>
          <w:rFonts w:ascii="Arial" w:hAnsi="Arial" w:cs="Arial"/>
        </w:rPr>
      </w:pPr>
    </w:p>
    <w:p w:rsidR="00C12F7D" w:rsidRDefault="00C12F7D" w:rsidP="00C12F7D">
      <w:pPr>
        <w:autoSpaceDE w:val="0"/>
        <w:autoSpaceDN w:val="0"/>
        <w:adjustRightInd w:val="0"/>
        <w:spacing w:after="0" w:line="240" w:lineRule="auto"/>
        <w:ind w:left="142"/>
        <w:jc w:val="both"/>
        <w:rPr>
          <w:rFonts w:ascii="Arial" w:hAnsi="Arial" w:cs="Arial"/>
          <w:b/>
        </w:rPr>
      </w:pPr>
      <w:r w:rsidRPr="00C12F7D">
        <w:rPr>
          <w:rFonts w:ascii="Arial" w:hAnsi="Arial" w:cs="Arial"/>
          <w:b/>
        </w:rPr>
        <w:t>2.4</w:t>
      </w:r>
      <w:r>
        <w:rPr>
          <w:rFonts w:ascii="Arial" w:hAnsi="Arial" w:cs="Arial"/>
          <w:b/>
        </w:rPr>
        <w:t xml:space="preserve"> </w:t>
      </w:r>
      <w:r w:rsidRPr="00C12F7D">
        <w:rPr>
          <w:rFonts w:ascii="Arial" w:hAnsi="Arial" w:cs="Arial"/>
          <w:b/>
        </w:rPr>
        <w:t>Revisión aleatoria de registro de movimientos del proceso y actuaciones de las</w:t>
      </w:r>
      <w:r>
        <w:rPr>
          <w:rFonts w:ascii="Arial" w:hAnsi="Arial" w:cs="Arial"/>
          <w:b/>
        </w:rPr>
        <w:t xml:space="preserve"> </w:t>
      </w:r>
      <w:r w:rsidRPr="00C12F7D">
        <w:rPr>
          <w:rFonts w:ascii="Arial" w:hAnsi="Arial" w:cs="Arial"/>
          <w:b/>
        </w:rPr>
        <w:t xml:space="preserve">solicitudes: Procesos verificados </w:t>
      </w:r>
    </w:p>
    <w:p w:rsidR="00C12F7D" w:rsidRDefault="00C12F7D" w:rsidP="00C12F7D">
      <w:pPr>
        <w:autoSpaceDE w:val="0"/>
        <w:autoSpaceDN w:val="0"/>
        <w:adjustRightInd w:val="0"/>
        <w:spacing w:after="0" w:line="240" w:lineRule="auto"/>
        <w:ind w:left="142"/>
        <w:jc w:val="both"/>
        <w:rPr>
          <w:rFonts w:ascii="Arial" w:hAnsi="Arial" w:cs="Arial"/>
          <w:b/>
        </w:rPr>
      </w:pPr>
    </w:p>
    <w:p w:rsidR="00CC131E" w:rsidRPr="00133712" w:rsidRDefault="00133712" w:rsidP="00133712">
      <w:pPr>
        <w:autoSpaceDE w:val="0"/>
        <w:autoSpaceDN w:val="0"/>
        <w:adjustRightInd w:val="0"/>
        <w:spacing w:after="0" w:line="240" w:lineRule="auto"/>
        <w:ind w:left="709"/>
        <w:jc w:val="both"/>
        <w:rPr>
          <w:rFonts w:ascii="Arial" w:hAnsi="Arial" w:cs="Arial"/>
        </w:rPr>
      </w:pPr>
      <w:r>
        <w:rPr>
          <w:rFonts w:ascii="Arial" w:hAnsi="Arial" w:cs="Arial"/>
        </w:rPr>
        <w:t>La Oficina de Control Interno verificó</w:t>
      </w:r>
      <w:r w:rsidRPr="00133712">
        <w:rPr>
          <w:rFonts w:ascii="Arial" w:hAnsi="Arial" w:cs="Arial"/>
        </w:rPr>
        <w:t xml:space="preserve"> el 100% de</w:t>
      </w:r>
      <w:r>
        <w:rPr>
          <w:rFonts w:ascii="Arial" w:hAnsi="Arial" w:cs="Arial"/>
        </w:rPr>
        <w:t xml:space="preserve"> </w:t>
      </w:r>
      <w:r w:rsidRPr="00133712">
        <w:rPr>
          <w:rFonts w:ascii="Arial" w:hAnsi="Arial" w:cs="Arial"/>
        </w:rPr>
        <w:t xml:space="preserve">los </w:t>
      </w:r>
      <w:r w:rsidR="00636D6A">
        <w:rPr>
          <w:rFonts w:ascii="Arial" w:hAnsi="Arial" w:cs="Arial"/>
        </w:rPr>
        <w:t xml:space="preserve">25 </w:t>
      </w:r>
      <w:r w:rsidRPr="00133712">
        <w:rPr>
          <w:rFonts w:ascii="Arial" w:hAnsi="Arial" w:cs="Arial"/>
        </w:rPr>
        <w:t xml:space="preserve">procesos </w:t>
      </w:r>
      <w:r>
        <w:rPr>
          <w:rFonts w:ascii="Arial" w:hAnsi="Arial" w:cs="Arial"/>
        </w:rPr>
        <w:t>judiciales vigentes en los que interviene o se encuentra vinculada la entidad</w:t>
      </w:r>
      <w:r w:rsidR="008D745A">
        <w:rPr>
          <w:rFonts w:ascii="Arial" w:hAnsi="Arial" w:cs="Arial"/>
        </w:rPr>
        <w:t xml:space="preserve">, información comparada con la matriz de control de los procesos remitida por la Oficina Asesora Jurídica y así mismo se hizo una revisión </w:t>
      </w:r>
      <w:r w:rsidR="00C23F46">
        <w:rPr>
          <w:rFonts w:ascii="Arial" w:hAnsi="Arial" w:cs="Arial"/>
        </w:rPr>
        <w:t>en el</w:t>
      </w:r>
      <w:r w:rsidR="008D745A">
        <w:rPr>
          <w:rFonts w:ascii="Arial" w:hAnsi="Arial" w:cs="Arial"/>
        </w:rPr>
        <w:t xml:space="preserve"> link de consulta de procesos en la página web de la Rama Judicial.</w:t>
      </w:r>
    </w:p>
    <w:p w:rsidR="00C12F7D" w:rsidRDefault="00C12F7D" w:rsidP="00C12F7D">
      <w:pPr>
        <w:autoSpaceDE w:val="0"/>
        <w:autoSpaceDN w:val="0"/>
        <w:adjustRightInd w:val="0"/>
        <w:spacing w:after="0" w:line="240" w:lineRule="auto"/>
        <w:ind w:left="142"/>
        <w:jc w:val="both"/>
        <w:rPr>
          <w:rFonts w:ascii="Arial" w:hAnsi="Arial" w:cs="Arial"/>
          <w:b/>
        </w:rPr>
      </w:pPr>
    </w:p>
    <w:p w:rsidR="00C12F7D" w:rsidRDefault="00C12F7D" w:rsidP="00927B76">
      <w:pPr>
        <w:autoSpaceDE w:val="0"/>
        <w:autoSpaceDN w:val="0"/>
        <w:adjustRightInd w:val="0"/>
        <w:spacing w:after="0" w:line="240" w:lineRule="auto"/>
        <w:ind w:left="720"/>
        <w:jc w:val="both"/>
        <w:rPr>
          <w:rFonts w:ascii="Arial" w:hAnsi="Arial" w:cs="Arial"/>
        </w:rPr>
      </w:pPr>
    </w:p>
    <w:p w:rsidR="002C6BA2" w:rsidRPr="002C6BA2" w:rsidRDefault="00D705A1" w:rsidP="002C6BA2">
      <w:pPr>
        <w:pStyle w:val="Prrafodelista"/>
        <w:numPr>
          <w:ilvl w:val="0"/>
          <w:numId w:val="6"/>
        </w:numPr>
        <w:autoSpaceDE w:val="0"/>
        <w:autoSpaceDN w:val="0"/>
        <w:adjustRightInd w:val="0"/>
        <w:spacing w:after="0" w:line="240" w:lineRule="auto"/>
        <w:jc w:val="both"/>
        <w:rPr>
          <w:rFonts w:ascii="Arial" w:hAnsi="Arial" w:cs="Arial"/>
          <w:b/>
          <w:u w:val="single"/>
        </w:rPr>
      </w:pPr>
      <w:r>
        <w:rPr>
          <w:rFonts w:ascii="Arial" w:hAnsi="Arial" w:cs="Arial"/>
          <w:b/>
          <w:u w:val="single"/>
        </w:rPr>
        <w:t>Conclusiones y Recomendaciones</w:t>
      </w:r>
    </w:p>
    <w:p w:rsidR="00057E1D" w:rsidRDefault="00057E1D" w:rsidP="00057E1D">
      <w:pPr>
        <w:autoSpaceDE w:val="0"/>
        <w:autoSpaceDN w:val="0"/>
        <w:adjustRightInd w:val="0"/>
        <w:spacing w:after="0" w:line="240" w:lineRule="auto"/>
        <w:jc w:val="both"/>
        <w:rPr>
          <w:rFonts w:ascii="Arial" w:hAnsi="Arial" w:cs="Arial"/>
        </w:rPr>
      </w:pPr>
    </w:p>
    <w:p w:rsidR="00B3321B" w:rsidRDefault="00B3321B" w:rsidP="0026500F">
      <w:pPr>
        <w:pStyle w:val="Prrafodelista"/>
        <w:autoSpaceDE w:val="0"/>
        <w:autoSpaceDN w:val="0"/>
        <w:adjustRightInd w:val="0"/>
        <w:spacing w:after="0" w:line="240" w:lineRule="auto"/>
        <w:jc w:val="both"/>
        <w:rPr>
          <w:rFonts w:ascii="Arial" w:hAnsi="Arial" w:cs="Arial"/>
        </w:rPr>
      </w:pPr>
    </w:p>
    <w:p w:rsidR="00B3321B" w:rsidRPr="00B3321B" w:rsidRDefault="00B3321B" w:rsidP="00B3321B">
      <w:pPr>
        <w:pStyle w:val="Prrafodelista"/>
        <w:autoSpaceDE w:val="0"/>
        <w:autoSpaceDN w:val="0"/>
        <w:adjustRightInd w:val="0"/>
        <w:spacing w:after="0" w:line="240" w:lineRule="auto"/>
        <w:jc w:val="both"/>
        <w:rPr>
          <w:rFonts w:ascii="Arial" w:hAnsi="Arial" w:cs="Arial"/>
        </w:rPr>
      </w:pPr>
      <w:r>
        <w:rPr>
          <w:rFonts w:ascii="Arial" w:hAnsi="Arial" w:cs="Arial"/>
        </w:rPr>
        <w:t>Efectuada la v</w:t>
      </w:r>
      <w:r w:rsidRPr="00B3321B">
        <w:rPr>
          <w:rFonts w:ascii="Arial" w:hAnsi="Arial" w:cs="Arial"/>
        </w:rPr>
        <w:t>erificación</w:t>
      </w:r>
      <w:r w:rsidR="00C11CB0">
        <w:rPr>
          <w:rFonts w:ascii="Arial" w:hAnsi="Arial" w:cs="Arial"/>
        </w:rPr>
        <w:t>,</w:t>
      </w:r>
      <w:r w:rsidRPr="00B3321B">
        <w:rPr>
          <w:rFonts w:ascii="Arial" w:hAnsi="Arial" w:cs="Arial"/>
        </w:rPr>
        <w:t xml:space="preserve"> la oficina de control Interno </w:t>
      </w:r>
      <w:r>
        <w:rPr>
          <w:rFonts w:ascii="Arial" w:hAnsi="Arial" w:cs="Arial"/>
        </w:rPr>
        <w:t xml:space="preserve">informa </w:t>
      </w:r>
      <w:r w:rsidRPr="00B3321B">
        <w:rPr>
          <w:rFonts w:ascii="Arial" w:hAnsi="Arial" w:cs="Arial"/>
        </w:rPr>
        <w:t>que la SSF ha cumplido con el registro de los procesos activos (judiciales y conciliaciones), la actualización de la información litigiosa, sentido de</w:t>
      </w:r>
      <w:r>
        <w:rPr>
          <w:rFonts w:ascii="Arial" w:hAnsi="Arial" w:cs="Arial"/>
        </w:rPr>
        <w:t>l fallo en procesos terminados y el r</w:t>
      </w:r>
      <w:r w:rsidRPr="00B3321B">
        <w:rPr>
          <w:rFonts w:ascii="Arial" w:hAnsi="Arial" w:cs="Arial"/>
        </w:rPr>
        <w:t>egistro</w:t>
      </w:r>
      <w:r>
        <w:rPr>
          <w:rFonts w:ascii="Arial" w:hAnsi="Arial" w:cs="Arial"/>
        </w:rPr>
        <w:t xml:space="preserve"> de los movimientos procesales. Sin embargo, </w:t>
      </w:r>
      <w:r w:rsidRPr="00B3321B">
        <w:rPr>
          <w:rFonts w:ascii="Arial" w:hAnsi="Arial" w:cs="Arial"/>
        </w:rPr>
        <w:t>observa que durante el peri</w:t>
      </w:r>
      <w:r w:rsidR="0069079D">
        <w:rPr>
          <w:rFonts w:ascii="Arial" w:hAnsi="Arial" w:cs="Arial"/>
        </w:rPr>
        <w:t>odo evaluado la entidad tiene 5</w:t>
      </w:r>
      <w:r w:rsidRPr="00B3321B">
        <w:rPr>
          <w:rFonts w:ascii="Arial" w:hAnsi="Arial" w:cs="Arial"/>
        </w:rPr>
        <w:t xml:space="preserve"> Procesos Judiciales sin calificación del riesgo;  así mismo se encuentra pendiente el cargue de las fichas técnicas del comité de conciliación en el sistema eKogui</w:t>
      </w:r>
      <w:r>
        <w:rPr>
          <w:rFonts w:ascii="Arial" w:hAnsi="Arial" w:cs="Arial"/>
        </w:rPr>
        <w:t>.</w:t>
      </w:r>
    </w:p>
    <w:p w:rsidR="00B3321B" w:rsidRDefault="00B3321B" w:rsidP="0026500F">
      <w:pPr>
        <w:pStyle w:val="Prrafodelista"/>
        <w:autoSpaceDE w:val="0"/>
        <w:autoSpaceDN w:val="0"/>
        <w:adjustRightInd w:val="0"/>
        <w:spacing w:after="0" w:line="240" w:lineRule="auto"/>
        <w:jc w:val="both"/>
        <w:rPr>
          <w:rFonts w:ascii="Arial" w:hAnsi="Arial" w:cs="Arial"/>
        </w:rPr>
      </w:pPr>
    </w:p>
    <w:p w:rsidR="00B3321B" w:rsidRPr="00A14BD4" w:rsidRDefault="00B3321B" w:rsidP="0026500F">
      <w:pPr>
        <w:pStyle w:val="Prrafodelista"/>
        <w:autoSpaceDE w:val="0"/>
        <w:autoSpaceDN w:val="0"/>
        <w:adjustRightInd w:val="0"/>
        <w:spacing w:after="0" w:line="240" w:lineRule="auto"/>
        <w:jc w:val="both"/>
        <w:rPr>
          <w:rFonts w:ascii="Arial" w:hAnsi="Arial" w:cs="Arial"/>
        </w:rPr>
      </w:pPr>
      <w:r>
        <w:rPr>
          <w:rFonts w:ascii="Arial" w:hAnsi="Arial" w:cs="Arial"/>
        </w:rPr>
        <w:t>Por lo anterior</w:t>
      </w:r>
      <w:r w:rsidR="0017507D">
        <w:rPr>
          <w:rFonts w:ascii="Arial" w:hAnsi="Arial" w:cs="Arial"/>
        </w:rPr>
        <w:t>, se</w:t>
      </w:r>
      <w:r>
        <w:rPr>
          <w:rFonts w:ascii="Arial" w:hAnsi="Arial" w:cs="Arial"/>
        </w:rPr>
        <w:t xml:space="preserve"> recomienda a la Oficina Asesora Jurídica</w:t>
      </w:r>
      <w:r w:rsidR="00ED00D1">
        <w:rPr>
          <w:rFonts w:ascii="Arial" w:hAnsi="Arial" w:cs="Arial"/>
        </w:rPr>
        <w:t xml:space="preserve"> diligenciar </w:t>
      </w:r>
      <w:r w:rsidR="0069079D">
        <w:rPr>
          <w:rFonts w:ascii="Arial" w:hAnsi="Arial" w:cs="Arial"/>
        </w:rPr>
        <w:t>la</w:t>
      </w:r>
      <w:r w:rsidR="00ED00D1">
        <w:rPr>
          <w:rFonts w:ascii="Arial" w:hAnsi="Arial" w:cs="Arial"/>
        </w:rPr>
        <w:t xml:space="preserve"> calificación del riesgo a los procesos judiciales que no lo tienen, y</w:t>
      </w:r>
      <w:r>
        <w:rPr>
          <w:rFonts w:ascii="Arial" w:hAnsi="Arial" w:cs="Arial"/>
        </w:rPr>
        <w:t xml:space="preserve"> solicitar capacitación a la Agencia Nacional de Defensa Jurídica en lo respectivo al procedimiento para realizar </w:t>
      </w:r>
      <w:r w:rsidRPr="00B3321B">
        <w:rPr>
          <w:rFonts w:ascii="Arial" w:hAnsi="Arial" w:cs="Arial"/>
        </w:rPr>
        <w:t>el cargue de las fichas téc</w:t>
      </w:r>
      <w:bookmarkStart w:id="0" w:name="_GoBack"/>
      <w:bookmarkEnd w:id="0"/>
      <w:r w:rsidRPr="00B3321B">
        <w:rPr>
          <w:rFonts w:ascii="Arial" w:hAnsi="Arial" w:cs="Arial"/>
        </w:rPr>
        <w:t>nicas del comité de conciliación en el sistema eKogui</w:t>
      </w:r>
      <w:r w:rsidR="00227D33">
        <w:rPr>
          <w:rFonts w:ascii="Arial" w:hAnsi="Arial" w:cs="Arial"/>
        </w:rPr>
        <w:t>.</w:t>
      </w:r>
    </w:p>
    <w:p w:rsidR="00057E1D" w:rsidRDefault="00057E1D" w:rsidP="00057E1D">
      <w:pPr>
        <w:autoSpaceDE w:val="0"/>
        <w:autoSpaceDN w:val="0"/>
        <w:adjustRightInd w:val="0"/>
        <w:spacing w:after="0" w:line="240" w:lineRule="auto"/>
        <w:jc w:val="both"/>
        <w:rPr>
          <w:rFonts w:ascii="Arial" w:hAnsi="Arial" w:cs="Arial"/>
        </w:rPr>
      </w:pPr>
    </w:p>
    <w:p w:rsidR="006260A3" w:rsidRDefault="006260A3" w:rsidP="00927B76">
      <w:pPr>
        <w:spacing w:after="0" w:line="240" w:lineRule="auto"/>
        <w:rPr>
          <w:rFonts w:ascii="Arial" w:hAnsi="Arial" w:cs="Arial"/>
        </w:rPr>
      </w:pPr>
    </w:p>
    <w:p w:rsidR="00B3321B" w:rsidRDefault="00ED00D1" w:rsidP="00927B76">
      <w:pPr>
        <w:spacing w:after="0" w:line="240" w:lineRule="auto"/>
        <w:rPr>
          <w:rFonts w:ascii="Arial" w:hAnsi="Arial" w:cs="Arial"/>
        </w:rPr>
      </w:pPr>
      <w:r>
        <w:rPr>
          <w:rFonts w:ascii="Arial" w:hAnsi="Arial" w:cs="Arial"/>
        </w:rPr>
        <w:t xml:space="preserve">Cordialmente, </w:t>
      </w:r>
    </w:p>
    <w:p w:rsidR="00ED00D1" w:rsidRDefault="00ED00D1" w:rsidP="00927B76">
      <w:pPr>
        <w:spacing w:after="0" w:line="240" w:lineRule="auto"/>
        <w:rPr>
          <w:rFonts w:ascii="Arial" w:hAnsi="Arial" w:cs="Arial"/>
        </w:rPr>
      </w:pPr>
    </w:p>
    <w:p w:rsidR="00ED00D1" w:rsidRDefault="00ED00D1" w:rsidP="00927B76">
      <w:pPr>
        <w:spacing w:after="0" w:line="240" w:lineRule="auto"/>
        <w:rPr>
          <w:rFonts w:ascii="Arial" w:hAnsi="Arial" w:cs="Arial"/>
        </w:rPr>
      </w:pPr>
    </w:p>
    <w:p w:rsidR="00ED00D1" w:rsidRDefault="00ED00D1" w:rsidP="00927B76">
      <w:pPr>
        <w:spacing w:after="0" w:line="240" w:lineRule="auto"/>
        <w:rPr>
          <w:rFonts w:ascii="Arial" w:hAnsi="Arial" w:cs="Arial"/>
        </w:rPr>
      </w:pPr>
    </w:p>
    <w:p w:rsidR="00ED00D1" w:rsidRDefault="00ED00D1" w:rsidP="00927B76">
      <w:pPr>
        <w:spacing w:after="0" w:line="240" w:lineRule="auto"/>
        <w:rPr>
          <w:rFonts w:ascii="Arial" w:hAnsi="Arial" w:cs="Arial"/>
        </w:rPr>
      </w:pPr>
    </w:p>
    <w:p w:rsidR="00B3321B" w:rsidRDefault="00B3321B" w:rsidP="00927B76">
      <w:pPr>
        <w:spacing w:after="0" w:line="240" w:lineRule="auto"/>
        <w:rPr>
          <w:rFonts w:ascii="Arial" w:hAnsi="Arial" w:cs="Arial"/>
          <w:b/>
        </w:rPr>
      </w:pPr>
    </w:p>
    <w:p w:rsidR="00927B76" w:rsidRPr="000D4A56" w:rsidRDefault="00B3321B" w:rsidP="00927B76">
      <w:pPr>
        <w:spacing w:after="0" w:line="240" w:lineRule="auto"/>
        <w:rPr>
          <w:rFonts w:ascii="Arial" w:hAnsi="Arial" w:cs="Arial"/>
          <w:b/>
        </w:rPr>
      </w:pPr>
      <w:r>
        <w:rPr>
          <w:rFonts w:ascii="Arial" w:hAnsi="Arial" w:cs="Arial"/>
          <w:b/>
        </w:rPr>
        <w:t>JOSE</w:t>
      </w:r>
      <w:r w:rsidR="00927B76" w:rsidRPr="000D4A56">
        <w:rPr>
          <w:rFonts w:ascii="Arial" w:hAnsi="Arial" w:cs="Arial"/>
          <w:b/>
        </w:rPr>
        <w:t xml:space="preserve"> WILLIAM CASALLAS FANDIÑO</w:t>
      </w:r>
    </w:p>
    <w:p w:rsidR="00927B76" w:rsidRPr="000D4A56" w:rsidRDefault="00927B76" w:rsidP="00927B76">
      <w:pPr>
        <w:spacing w:after="0" w:line="240" w:lineRule="auto"/>
        <w:rPr>
          <w:rFonts w:ascii="Arial" w:hAnsi="Arial" w:cs="Arial"/>
        </w:rPr>
      </w:pPr>
      <w:r w:rsidRPr="000D4A56">
        <w:rPr>
          <w:rFonts w:ascii="Arial" w:hAnsi="Arial" w:cs="Arial"/>
        </w:rPr>
        <w:t>Jefe Oficina de Control Interno</w:t>
      </w:r>
    </w:p>
    <w:p w:rsidR="00927B76" w:rsidRPr="000D4A56" w:rsidRDefault="00927B76" w:rsidP="00927B76">
      <w:pPr>
        <w:spacing w:after="0" w:line="240" w:lineRule="auto"/>
        <w:rPr>
          <w:rFonts w:ascii="Arial" w:hAnsi="Arial" w:cs="Arial"/>
        </w:rPr>
      </w:pPr>
    </w:p>
    <w:sectPr w:rsidR="00927B76" w:rsidRPr="000D4A56" w:rsidSect="005B44CD">
      <w:headerReference w:type="default" r:id="rId9"/>
      <w:footerReference w:type="default" r:id="rId10"/>
      <w:pgSz w:w="12240" w:h="18720" w:code="14"/>
      <w:pgMar w:top="284" w:right="1134" w:bottom="284" w:left="1418" w:header="28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A0E" w:rsidRDefault="001D7A0E" w:rsidP="006B0C0A">
      <w:pPr>
        <w:spacing w:after="0" w:line="240" w:lineRule="auto"/>
      </w:pPr>
      <w:r>
        <w:separator/>
      </w:r>
    </w:p>
  </w:endnote>
  <w:endnote w:type="continuationSeparator" w:id="0">
    <w:p w:rsidR="001D7A0E" w:rsidRDefault="001D7A0E"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AB2008t00">
    <w:charset w:val="00"/>
    <w:family w:val="auto"/>
    <w:pitch w:val="default"/>
  </w:font>
  <w:font w:name="Helvetica Neue">
    <w:altName w:val="Malgun Gothic"/>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CD" w:rsidRDefault="003B3AD7" w:rsidP="005B44CD">
    <w:pPr>
      <w:spacing w:after="0" w:line="240" w:lineRule="auto"/>
      <w:jc w:val="right"/>
      <w:rPr>
        <w:sz w:val="18"/>
      </w:rPr>
    </w:pPr>
    <w:r>
      <w:rPr>
        <w:noProof/>
        <w:lang w:eastAsia="es-ES"/>
      </w:rPr>
      <mc:AlternateContent>
        <mc:Choice Requires="wps">
          <w:drawing>
            <wp:anchor distT="0" distB="0" distL="114300" distR="114300" simplePos="0" relativeHeight="251657728" behindDoc="0" locked="0" layoutInCell="1" allowOverlap="1" wp14:anchorId="30C207A1" wp14:editId="1EAB8927">
              <wp:simplePos x="0" y="0"/>
              <wp:positionH relativeFrom="column">
                <wp:posOffset>-119380</wp:posOffset>
              </wp:positionH>
              <wp:positionV relativeFrom="paragraph">
                <wp:posOffset>94615</wp:posOffset>
              </wp:positionV>
              <wp:extent cx="1200150" cy="532765"/>
              <wp:effectExtent l="0" t="0" r="0" b="6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32765"/>
                      </a:xfrm>
                      <a:prstGeom prst="rect">
                        <a:avLst/>
                      </a:prstGeom>
                      <a:noFill/>
                      <a:ln w="9525">
                        <a:noFill/>
                        <a:miter lim="800000"/>
                        <a:headEnd/>
                        <a:tailEnd/>
                      </a:ln>
                    </wps:spPr>
                    <wps:txbx>
                      <w:txbxContent>
                        <w:p w:rsidR="005B44CD" w:rsidRPr="0011629D" w:rsidRDefault="003B3AD7">
                          <w:pPr>
                            <w:rPr>
                              <w:color w:val="FFFFFF"/>
                            </w:rPr>
                          </w:pPr>
                          <w:r w:rsidRPr="00DD3163">
                            <w:rPr>
                              <w:noProof/>
                              <w:sz w:val="20"/>
                              <w:szCs w:val="20"/>
                              <w:lang w:eastAsia="es-ES"/>
                            </w:rPr>
                            <w:drawing>
                              <wp:inline distT="0" distB="0" distL="0" distR="0" wp14:anchorId="6EA9E614" wp14:editId="06EC7472">
                                <wp:extent cx="1010920" cy="589280"/>
                                <wp:effectExtent l="0" t="0" r="0" b="1270"/>
                                <wp:docPr id="9"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589280"/>
                                        </a:xfrm>
                                        <a:prstGeom prst="rect">
                                          <a:avLst/>
                                        </a:prstGeom>
                                        <a:noFill/>
                                        <a:ln>
                                          <a:noFill/>
                                        </a:ln>
                                      </pic:spPr>
                                    </pic:pic>
                                  </a:graphicData>
                                </a:graphic>
                              </wp:inline>
                            </w:drawing>
                          </w:r>
                          <w:r w:rsidRPr="0011629D">
                            <w:rPr>
                              <w:noProof/>
                              <w:color w:val="FFFFFF"/>
                              <w:lang w:eastAsia="es-ES"/>
                            </w:rPr>
                            <w:drawing>
                              <wp:inline distT="0" distB="0" distL="0" distR="0" wp14:anchorId="383BF189" wp14:editId="6EADF07B">
                                <wp:extent cx="1028700" cy="369570"/>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3695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0C207A1" id="_x0000_t202" coordsize="21600,21600" o:spt="202" path="m,l,21600r21600,l21600,xe">
              <v:stroke joinstyle="miter"/>
              <v:path gradientshapeok="t" o:connecttype="rect"/>
            </v:shapetype>
            <v:shape id="Cuadro de texto 2" o:spid="_x0000_s1026" type="#_x0000_t202" style="position:absolute;left:0;text-align:left;margin-left:-9.4pt;margin-top:7.45pt;width:94.5pt;height:4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o7DQIAAPkDAAAOAAAAZHJzL2Uyb0RvYy54bWysU9uO2yAQfa/Uf0C8N07ceC9WyGqb7VaV&#10;thdp2w8ggGNUYCiQ2Nuv74Cz2ah9q+oHBJ6ZM3MOh9XNaA05qBA1OEYXszklygmQ2u0Y/f7t/s0V&#10;JTFxJ7kBpxh9UpHerF+/Wg2+VTX0YKQKBEFcbAfPaJ+Sb6sqil5ZHmfglcNgB8HyhMewq2TgA6Jb&#10;U9Xz+UU1QJA+gFAx4t+7KUjXBb/rlEhfui6qRAyjOFsqayjrNq/VesXbXeC+1+I4Bv+HKSzXDpue&#10;oO544mQf9F9QVosAEbo0E2Ar6DotVOGAbBbzP9g89tyrwgXFif4kU/x/sOLz4WsgWjK6pMRxi1e0&#10;2XMZgEhFkhoTkDqLNPjYYu6jx+w0voMRL7sQjv4BxI9IHGx67nbqNgQYesUlDrnIldVZ6YQTM8h2&#10;+AQSu/F9ggI0dsFmBVETguh4WU+nC8I5iMgt8coXDYYExpq39eVFU1rw9rnah5g+KLAkbxgNaICC&#10;zg8PMeVpePuckps5uNfGFBMYRwZGr5u6KQVnEasTetRoy+jVPH+TazLJ906W4sS1mfbYwLgj60x0&#10;opzG7YiJWYotyCfkH2DyIr4d3PQQflEyoA8ZjT/3PChKzEeHGl4vlsts3HJYNpc1HsJ5ZHse4U4g&#10;FKOJkmm7ScXsE9db1LrTRYaXSY6zor+KOse3kA18fi5ZLy92/RsAAP//AwBQSwMEFAAGAAgAAAAh&#10;AD2wCtHcAAAACQEAAA8AAABkcnMvZG93bnJldi54bWxMj8tOwzAQRfdI/IM1SOxau1WBJmRSIRBb&#10;EOUhsXPjaRIRj6PYbcLfM13R5ehc3Xum2Ey+U0caYhsYYTE3oIir4FquET7en2drUDFZdrYLTAi/&#10;FGFTXl4UNndh5Dc6blOtpIRjbhGalPpc61g15G2ch55Y2D4M3iY5h1q7wY5S7ju9NOZWe9uyLDS2&#10;p8eGqp/twSN8vuy/v1bmtX7yN/0YJqPZZxrx+mp6uAeVaEr/YTjpizqU4rQLB3ZRdQizxVrUk4BV&#10;BuoUuDNLUDuETIAuC33+QfkHAAD//wMAUEsBAi0AFAAGAAgAAAAhALaDOJL+AAAA4QEAABMAAAAA&#10;AAAAAAAAAAAAAAAAAFtDb250ZW50X1R5cGVzXS54bWxQSwECLQAUAAYACAAAACEAOP0h/9YAAACU&#10;AQAACwAAAAAAAAAAAAAAAAAvAQAAX3JlbHMvLnJlbHNQSwECLQAUAAYACAAAACEAFrBaOw0CAAD5&#10;AwAADgAAAAAAAAAAAAAAAAAuAgAAZHJzL2Uyb0RvYy54bWxQSwECLQAUAAYACAAAACEAPbAK0dwA&#10;AAAJAQAADwAAAAAAAAAAAAAAAABnBAAAZHJzL2Rvd25yZXYueG1sUEsFBgAAAAAEAAQA8wAAAHAF&#10;AAAAAA==&#10;" filled="f" stroked="f">
              <v:textbox>
                <w:txbxContent>
                  <w:p w:rsidR="005B44CD" w:rsidRPr="0011629D" w:rsidRDefault="003B3AD7">
                    <w:pPr>
                      <w:rPr>
                        <w:color w:val="FFFFFF"/>
                      </w:rPr>
                    </w:pPr>
                    <w:r w:rsidRPr="00DD3163">
                      <w:rPr>
                        <w:noProof/>
                        <w:sz w:val="20"/>
                        <w:szCs w:val="20"/>
                        <w:lang w:val="es-CO" w:eastAsia="es-CO"/>
                      </w:rPr>
                      <w:drawing>
                        <wp:inline distT="0" distB="0" distL="0" distR="0" wp14:anchorId="6EA9E614" wp14:editId="06EC7472">
                          <wp:extent cx="1010920" cy="589280"/>
                          <wp:effectExtent l="0" t="0" r="0" b="1270"/>
                          <wp:docPr id="9"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0920" cy="589280"/>
                                  </a:xfrm>
                                  <a:prstGeom prst="rect">
                                    <a:avLst/>
                                  </a:prstGeom>
                                  <a:noFill/>
                                  <a:ln>
                                    <a:noFill/>
                                  </a:ln>
                                </pic:spPr>
                              </pic:pic>
                            </a:graphicData>
                          </a:graphic>
                        </wp:inline>
                      </w:drawing>
                    </w:r>
                    <w:r w:rsidRPr="0011629D">
                      <w:rPr>
                        <w:noProof/>
                        <w:color w:val="FFFFFF"/>
                        <w:lang w:val="es-CO" w:eastAsia="es-CO"/>
                      </w:rPr>
                      <w:drawing>
                        <wp:inline distT="0" distB="0" distL="0" distR="0" wp14:anchorId="383BF189" wp14:editId="6EADF07B">
                          <wp:extent cx="1028700" cy="369570"/>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369570"/>
                                  </a:xfrm>
                                  <a:prstGeom prst="rect">
                                    <a:avLst/>
                                  </a:prstGeom>
                                  <a:noFill/>
                                  <a:ln>
                                    <a:noFill/>
                                  </a:ln>
                                </pic:spPr>
                              </pic:pic>
                            </a:graphicData>
                          </a:graphic>
                        </wp:inline>
                      </w:drawing>
                    </w:r>
                  </w:p>
                </w:txbxContent>
              </v:textbox>
            </v:shape>
          </w:pict>
        </mc:Fallback>
      </mc:AlternateContent>
    </w:r>
  </w:p>
  <w:p w:rsidR="005B44CD" w:rsidRDefault="003B3AD7" w:rsidP="005B44CD">
    <w:pPr>
      <w:spacing w:after="0" w:line="240" w:lineRule="auto"/>
      <w:ind w:firstLine="708"/>
      <w:jc w:val="right"/>
      <w:rPr>
        <w:sz w:val="18"/>
      </w:rPr>
    </w:pPr>
    <w:r w:rsidRPr="0011629D">
      <w:rPr>
        <w:rFonts w:ascii="Helvetica Neue" w:hAnsi="Helvetica Neue"/>
        <w:noProof/>
        <w:color w:val="7F7F7F"/>
        <w:sz w:val="12"/>
        <w:szCs w:val="12"/>
        <w:lang w:eastAsia="es-ES"/>
      </w:rPr>
      <w:drawing>
        <wp:inline distT="0" distB="0" distL="0" distR="0" wp14:anchorId="35B95298" wp14:editId="21A25841">
          <wp:extent cx="1275080" cy="527685"/>
          <wp:effectExtent l="0" t="0" r="1270" b="5715"/>
          <wp:docPr id="3"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5080" cy="527685"/>
                  </a:xfrm>
                  <a:prstGeom prst="rect">
                    <a:avLst/>
                  </a:prstGeom>
                  <a:noFill/>
                  <a:ln>
                    <a:noFill/>
                  </a:ln>
                </pic:spPr>
              </pic:pic>
            </a:graphicData>
          </a:graphic>
        </wp:inline>
      </w:drawing>
    </w:r>
  </w:p>
  <w:p w:rsidR="005B44CD" w:rsidRPr="004933ED" w:rsidRDefault="005B44CD" w:rsidP="005B44CD">
    <w:pPr>
      <w:spacing w:after="0" w:line="240" w:lineRule="auto"/>
      <w:ind w:firstLine="708"/>
      <w:jc w:val="righ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A0E" w:rsidRDefault="001D7A0E" w:rsidP="006B0C0A">
      <w:pPr>
        <w:spacing w:after="0" w:line="240" w:lineRule="auto"/>
      </w:pPr>
      <w:r>
        <w:separator/>
      </w:r>
    </w:p>
  </w:footnote>
  <w:footnote w:type="continuationSeparator" w:id="0">
    <w:p w:rsidR="001D7A0E" w:rsidRDefault="001D7A0E" w:rsidP="006B0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CD" w:rsidRDefault="003B3AD7">
    <w:pPr>
      <w:pStyle w:val="Encabezado"/>
      <w:rPr>
        <w:noProof/>
      </w:rPr>
    </w:pPr>
    <w:r>
      <w:rPr>
        <w:noProof/>
      </w:rPr>
      <mc:AlternateContent>
        <mc:Choice Requires="wps">
          <w:drawing>
            <wp:anchor distT="0" distB="0" distL="114300" distR="114300" simplePos="0" relativeHeight="251658752" behindDoc="0" locked="0" layoutInCell="1" allowOverlap="1" wp14:anchorId="7F278580" wp14:editId="2A39858D">
              <wp:simplePos x="0" y="0"/>
              <wp:positionH relativeFrom="page">
                <wp:posOffset>0</wp:posOffset>
              </wp:positionH>
              <wp:positionV relativeFrom="paragraph">
                <wp:posOffset>-191135</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747AF4F" id="Rectángulo 17" o:spid="_x0000_s1026" style="position:absolute;margin-left:0;margin-top:-15.05pt;width:711.95pt;height:15.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4agIAAM0EAAAOAAAAZHJzL2Uyb0RvYy54bWysVEtuGzEM3RfoHQTtm7ENO5+B7cCJkaKA&#10;kRhNiqxpjeaDSqIqyR6nt+lZerFSmrHjpl0V3QikyOEjnx5ner3Xiu2k8w2aGR+eDTiTRmDRmGrG&#10;vzzdfbjkzAcwBSg0csZfpOfX8/fvpq3N5QhrVIV0jIoYn7d2xusQbJ5lXtRSgz9DKw0FS3QaArmu&#10;ygoHLVXXKhsNBudZi66wDoX0nm6XXZDPU/2ylCI8lKWXgakZp95COl06N/HM5lPIKwe2bkTfBvxD&#10;FxoaQ6DHUksIwLau+aOUboRDj2U4E6gzLMtGyDQDTTMcvJnmsQYr0yxEjrdHmvz/Kyvud2vHmoLe&#10;7oIzA5re6DOx9vOHqbYKGd0SRa31OWU+2rWLQ3q7QvHVUyD7LRId3+fsS6djLo3I9onvlyPfch+Y&#10;oMurwXh4cT7hTFCMXnMwmkS0DPLD19b58FGiZtGYcUedJZpht/KhSz2kpMZQNcVdo1RyXLW5VY7t&#10;gN5+eHN5sxz31f1pmjKspVYmhM0EkARLBYFMbYkUbyrOQFWkbRFcgjYYAQgb8gi9BF93EKlqj6BM&#10;jMskwL7TV3KitcHihYh32CnSW3HXULUV+LAGRxIksdJahQc6SoXUIfYWZzW673+7j/mkDIpy1pKk&#10;qf1vW3CSM/XJkGauhuNx3IHkjCcXI3LcaWRzGjFbfYuROVpgK5IZ84M6mKVD/Uzbt4ioFAIjCLsj&#10;qnduQ7dqtL9CLhYpjXRvIazMoxWx+IHHp/0zONu/cyCF3ONB/pC/ee4uN35pcLENWDZJC6+89sKk&#10;nUlq6vc7LuWpn7Je/0LzXwAAAP//AwBQSwMEFAAGAAgAAAAhAPvfgIzaAAAABwEAAA8AAABkcnMv&#10;ZG93bnJldi54bWxMj8FOwzAQRO9I/IO1SL21TlKE2hCnqpBQTxwayn0TL3FovI5it03/HucEtx3N&#10;aOZtsZtsL640+s6xgnSVgCBunO64VXD6fF9uQPiArLF3TAru5GFXPj4UmGt34yNdq9CKWMI+RwUm&#10;hCGX0jeGLPqVG4ij9+1GiyHKsZV6xFsst73MkuRFWuw4Lhgc6M1Qc64uVsEHY/1zOO6/ssmet1W6&#10;4WDsQanF07R/BRFoCn9hmPEjOpSRqXYX1l70CuIjQcFynaQgZvs5W29B1PMFsizkf/7yFwAA//8D&#10;AFBLAQItABQABgAIAAAAIQC2gziS/gAAAOEBAAATAAAAAAAAAAAAAAAAAAAAAABbQ29udGVudF9U&#10;eXBlc10ueG1sUEsBAi0AFAAGAAgAAAAhADj9If/WAAAAlAEAAAsAAAAAAAAAAAAAAAAALwEAAF9y&#10;ZWxzLy5yZWxzUEsBAi0AFAAGAAgAAAAhAL1pmThqAgAAzQQAAA4AAAAAAAAAAAAAAAAALgIAAGRy&#10;cy9lMm9Eb2MueG1sUEsBAi0AFAAGAAgAAAAhAPvfgIzaAAAABwEAAA8AAAAAAAAAAAAAAAAAxAQA&#10;AGRycy9kb3ducmV2LnhtbFBLBQYAAAAABAAEAPMAAADLBQAAAAA=&#10;" fillcolor="#1b8bd4" stroked="f">
              <v:path arrowok="t"/>
              <w10:wrap anchorx="page"/>
            </v:rect>
          </w:pict>
        </mc:Fallback>
      </mc:AlternateContent>
    </w:r>
    <w:r w:rsidRPr="0011629D">
      <w:rPr>
        <w:noProof/>
      </w:rPr>
      <w:drawing>
        <wp:inline distT="0" distB="0" distL="0" distR="0" wp14:anchorId="7BC53AFA" wp14:editId="587470F8">
          <wp:extent cx="2039620" cy="509905"/>
          <wp:effectExtent l="0" t="0" r="0" b="4445"/>
          <wp:docPr id="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9620" cy="509905"/>
                  </a:xfrm>
                  <a:prstGeom prst="rect">
                    <a:avLst/>
                  </a:prstGeom>
                  <a:noFill/>
                  <a:ln>
                    <a:noFill/>
                  </a:ln>
                </pic:spPr>
              </pic:pic>
            </a:graphicData>
          </a:graphic>
        </wp:inline>
      </w:drawing>
    </w:r>
    <w:r w:rsidR="000904F5">
      <w:rPr>
        <w:noProof/>
        <w:lang w:eastAsia="es-CO"/>
      </w:rPr>
      <w:t xml:space="preserve">              </w:t>
    </w:r>
    <w:r w:rsidR="001762A1">
      <w:rPr>
        <w:noProof/>
        <w:lang w:eastAsia="es-CO"/>
      </w:rPr>
      <w:t xml:space="preserve">                    </w:t>
    </w:r>
    <w:r w:rsidR="000904F5">
      <w:rPr>
        <w:noProof/>
        <w:lang w:eastAsia="es-CO"/>
      </w:rPr>
      <w:t xml:space="preserve">      </w:t>
    </w:r>
    <w:r w:rsidRPr="0011629D">
      <w:rPr>
        <w:noProof/>
      </w:rPr>
      <w:drawing>
        <wp:inline distT="0" distB="0" distL="0" distR="0" wp14:anchorId="061EC65E" wp14:editId="65ACC9AE">
          <wp:extent cx="2532380" cy="509905"/>
          <wp:effectExtent l="0" t="0" r="1270" b="4445"/>
          <wp:docPr id="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2380" cy="509905"/>
                  </a:xfrm>
                  <a:prstGeom prst="rect">
                    <a:avLst/>
                  </a:prstGeom>
                  <a:noFill/>
                  <a:ln>
                    <a:noFill/>
                  </a:ln>
                </pic:spPr>
              </pic:pic>
            </a:graphicData>
          </a:graphic>
        </wp:inline>
      </w:drawing>
    </w:r>
    <w:r w:rsidR="000904F5">
      <w:rPr>
        <w:noProof/>
        <w:lang w:eastAsia="es-CO"/>
      </w:rPr>
      <w:t xml:space="preserve">             </w:t>
    </w:r>
    <w:r w:rsidR="000904F5">
      <w:rPr>
        <w:noProof/>
        <w:lang w:val="es-CO" w:eastAsia="es-CO"/>
      </w:rPr>
      <w:t xml:space="preserve"> </w:t>
    </w:r>
    <w:r w:rsidR="000904F5">
      <w:t xml:space="preserve">              </w:t>
    </w:r>
    <w:r w:rsidR="000904F5">
      <w:rPr>
        <w:noProof/>
      </w:rPr>
      <w:t xml:space="preserve">                                                                                          </w:t>
    </w:r>
  </w:p>
  <w:p w:rsidR="00773DB4" w:rsidRDefault="000904F5" w:rsidP="00DD3163">
    <w:pPr>
      <w:jc w:val="right"/>
      <w:rPr>
        <w:rFonts w:ascii="Arial" w:hAnsi="Arial" w:cs="Arial"/>
        <w:b/>
      </w:rPr>
    </w:pPr>
    <w:r w:rsidRPr="0011629D">
      <w:rPr>
        <w:b/>
        <w:color w:val="808080"/>
        <w:sz w:val="16"/>
        <w:szCs w:val="16"/>
      </w:rPr>
      <w:t>Código:</w:t>
    </w:r>
    <w:r w:rsidRPr="0011629D">
      <w:rPr>
        <w:color w:val="808080"/>
        <w:sz w:val="16"/>
        <w:szCs w:val="16"/>
      </w:rPr>
      <w:t xml:space="preserve"> FO-PCA-CODO-009 </w:t>
    </w:r>
    <w:r w:rsidRPr="0011629D">
      <w:rPr>
        <w:b/>
        <w:color w:val="808080"/>
        <w:sz w:val="16"/>
        <w:szCs w:val="16"/>
      </w:rPr>
      <w:t>Versión:</w:t>
    </w:r>
    <w:r w:rsidRPr="0011629D">
      <w:rPr>
        <w:color w:val="808080"/>
        <w:sz w:val="16"/>
        <w:szCs w:val="16"/>
      </w:rPr>
      <w:t xml:space="preserve">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E69"/>
    <w:multiLevelType w:val="hybridMultilevel"/>
    <w:tmpl w:val="E208DFB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88F13C2"/>
    <w:multiLevelType w:val="hybridMultilevel"/>
    <w:tmpl w:val="F18E7A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BDD60A2"/>
    <w:multiLevelType w:val="hybridMultilevel"/>
    <w:tmpl w:val="00D657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0FD321D"/>
    <w:multiLevelType w:val="hybridMultilevel"/>
    <w:tmpl w:val="DECCF0A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565110C"/>
    <w:multiLevelType w:val="hybridMultilevel"/>
    <w:tmpl w:val="CA8C1C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1215CE"/>
    <w:multiLevelType w:val="hybridMultilevel"/>
    <w:tmpl w:val="5240CAA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E835CE6"/>
    <w:multiLevelType w:val="hybridMultilevel"/>
    <w:tmpl w:val="E9760C18"/>
    <w:lvl w:ilvl="0" w:tplc="40FC525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3EA87BC8"/>
    <w:multiLevelType w:val="hybridMultilevel"/>
    <w:tmpl w:val="2326B3D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7456406"/>
    <w:multiLevelType w:val="hybridMultilevel"/>
    <w:tmpl w:val="88ACD01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ABC21B2"/>
    <w:multiLevelType w:val="hybridMultilevel"/>
    <w:tmpl w:val="94B6A04C"/>
    <w:lvl w:ilvl="0" w:tplc="AEBAC04C">
      <w:start w:val="1"/>
      <w:numFmt w:val="decimal"/>
      <w:lvlText w:val="%1)"/>
      <w:lvlJc w:val="left"/>
      <w:pPr>
        <w:ind w:left="720" w:hanging="360"/>
      </w:pPr>
      <w:rPr>
        <w:rFonts w:hint="default"/>
        <w:b/>
        <w:i w:val="0"/>
        <w:position w:val="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4B65743"/>
    <w:multiLevelType w:val="multilevel"/>
    <w:tmpl w:val="504E2A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nsid w:val="6A406721"/>
    <w:multiLevelType w:val="hybridMultilevel"/>
    <w:tmpl w:val="DDC8DB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D7F4802"/>
    <w:multiLevelType w:val="hybridMultilevel"/>
    <w:tmpl w:val="4A366A4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9"/>
  </w:num>
  <w:num w:numId="2">
    <w:abstractNumId w:val="3"/>
  </w:num>
  <w:num w:numId="3">
    <w:abstractNumId w:val="7"/>
  </w:num>
  <w:num w:numId="4">
    <w:abstractNumId w:val="12"/>
  </w:num>
  <w:num w:numId="5">
    <w:abstractNumId w:val="2"/>
  </w:num>
  <w:num w:numId="6">
    <w:abstractNumId w:val="10"/>
  </w:num>
  <w:num w:numId="7">
    <w:abstractNumId w:val="8"/>
  </w:num>
  <w:num w:numId="8">
    <w:abstractNumId w:val="0"/>
  </w:num>
  <w:num w:numId="9">
    <w:abstractNumId w:val="5"/>
  </w:num>
  <w:num w:numId="10">
    <w:abstractNumId w:val="1"/>
  </w:num>
  <w:num w:numId="11">
    <w:abstractNumId w:val="11"/>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D7"/>
    <w:rsid w:val="00012C04"/>
    <w:rsid w:val="00027DE0"/>
    <w:rsid w:val="00031993"/>
    <w:rsid w:val="000453CD"/>
    <w:rsid w:val="00057E1D"/>
    <w:rsid w:val="0008177D"/>
    <w:rsid w:val="000904F5"/>
    <w:rsid w:val="000E5F10"/>
    <w:rsid w:val="0011629D"/>
    <w:rsid w:val="00133712"/>
    <w:rsid w:val="00165B99"/>
    <w:rsid w:val="00170202"/>
    <w:rsid w:val="00172198"/>
    <w:rsid w:val="00174337"/>
    <w:rsid w:val="0017507D"/>
    <w:rsid w:val="001762A1"/>
    <w:rsid w:val="00182294"/>
    <w:rsid w:val="00187C22"/>
    <w:rsid w:val="001B691D"/>
    <w:rsid w:val="001C0AC6"/>
    <w:rsid w:val="001C6FC8"/>
    <w:rsid w:val="001D7A0E"/>
    <w:rsid w:val="001F338B"/>
    <w:rsid w:val="001F39F6"/>
    <w:rsid w:val="00210505"/>
    <w:rsid w:val="00212249"/>
    <w:rsid w:val="002147E8"/>
    <w:rsid w:val="00227D33"/>
    <w:rsid w:val="00255BF1"/>
    <w:rsid w:val="002632A3"/>
    <w:rsid w:val="0026500F"/>
    <w:rsid w:val="00274180"/>
    <w:rsid w:val="00274C8B"/>
    <w:rsid w:val="00280D12"/>
    <w:rsid w:val="002B03C8"/>
    <w:rsid w:val="002C004F"/>
    <w:rsid w:val="002C07C3"/>
    <w:rsid w:val="002C3390"/>
    <w:rsid w:val="002C6BA2"/>
    <w:rsid w:val="002C7349"/>
    <w:rsid w:val="002D7387"/>
    <w:rsid w:val="002E7678"/>
    <w:rsid w:val="0030687C"/>
    <w:rsid w:val="00324F44"/>
    <w:rsid w:val="00333C0D"/>
    <w:rsid w:val="0035611C"/>
    <w:rsid w:val="00383DFF"/>
    <w:rsid w:val="003B3AD7"/>
    <w:rsid w:val="003C3701"/>
    <w:rsid w:val="003C5C49"/>
    <w:rsid w:val="00404F7D"/>
    <w:rsid w:val="0042656D"/>
    <w:rsid w:val="00452E71"/>
    <w:rsid w:val="00487CEB"/>
    <w:rsid w:val="00490CBC"/>
    <w:rsid w:val="004A34DA"/>
    <w:rsid w:val="004E203D"/>
    <w:rsid w:val="004E5931"/>
    <w:rsid w:val="004F2D07"/>
    <w:rsid w:val="004F6DEF"/>
    <w:rsid w:val="00506E05"/>
    <w:rsid w:val="00510292"/>
    <w:rsid w:val="005128CE"/>
    <w:rsid w:val="0051299B"/>
    <w:rsid w:val="00524F95"/>
    <w:rsid w:val="00573BB9"/>
    <w:rsid w:val="00591F09"/>
    <w:rsid w:val="005B44CD"/>
    <w:rsid w:val="005C63DA"/>
    <w:rsid w:val="005E2D54"/>
    <w:rsid w:val="005F6FCD"/>
    <w:rsid w:val="006260A3"/>
    <w:rsid w:val="00636D6A"/>
    <w:rsid w:val="0067287C"/>
    <w:rsid w:val="006740F6"/>
    <w:rsid w:val="00687091"/>
    <w:rsid w:val="0069079D"/>
    <w:rsid w:val="00690D4B"/>
    <w:rsid w:val="00692D4F"/>
    <w:rsid w:val="006B0C0A"/>
    <w:rsid w:val="006B50FF"/>
    <w:rsid w:val="006C6F52"/>
    <w:rsid w:val="006E19B6"/>
    <w:rsid w:val="007208CA"/>
    <w:rsid w:val="00733693"/>
    <w:rsid w:val="00736976"/>
    <w:rsid w:val="00755D5C"/>
    <w:rsid w:val="007701E7"/>
    <w:rsid w:val="00773DB4"/>
    <w:rsid w:val="007C1BCC"/>
    <w:rsid w:val="007D2624"/>
    <w:rsid w:val="007F1F2A"/>
    <w:rsid w:val="00823646"/>
    <w:rsid w:val="008246F4"/>
    <w:rsid w:val="00825E04"/>
    <w:rsid w:val="0083693A"/>
    <w:rsid w:val="00880991"/>
    <w:rsid w:val="00881F59"/>
    <w:rsid w:val="008A0B61"/>
    <w:rsid w:val="008A475D"/>
    <w:rsid w:val="008C6222"/>
    <w:rsid w:val="008D745A"/>
    <w:rsid w:val="008E2A1F"/>
    <w:rsid w:val="008F5D47"/>
    <w:rsid w:val="00906BA7"/>
    <w:rsid w:val="009262E5"/>
    <w:rsid w:val="00927B76"/>
    <w:rsid w:val="00941C33"/>
    <w:rsid w:val="00972FD4"/>
    <w:rsid w:val="009775AA"/>
    <w:rsid w:val="00984EFC"/>
    <w:rsid w:val="009A0F83"/>
    <w:rsid w:val="009C28B3"/>
    <w:rsid w:val="009C79EB"/>
    <w:rsid w:val="009E044D"/>
    <w:rsid w:val="00A0031B"/>
    <w:rsid w:val="00A14BD4"/>
    <w:rsid w:val="00A15543"/>
    <w:rsid w:val="00A22A02"/>
    <w:rsid w:val="00A24860"/>
    <w:rsid w:val="00A3175B"/>
    <w:rsid w:val="00A65B07"/>
    <w:rsid w:val="00A95F19"/>
    <w:rsid w:val="00A977F1"/>
    <w:rsid w:val="00AC0EDF"/>
    <w:rsid w:val="00AD5B78"/>
    <w:rsid w:val="00AE0331"/>
    <w:rsid w:val="00AE3355"/>
    <w:rsid w:val="00AF2CD0"/>
    <w:rsid w:val="00B12EFE"/>
    <w:rsid w:val="00B23C4F"/>
    <w:rsid w:val="00B3321B"/>
    <w:rsid w:val="00B5052C"/>
    <w:rsid w:val="00BB7C4F"/>
    <w:rsid w:val="00BC1A00"/>
    <w:rsid w:val="00BE067C"/>
    <w:rsid w:val="00C11CB0"/>
    <w:rsid w:val="00C11ECC"/>
    <w:rsid w:val="00C12A90"/>
    <w:rsid w:val="00C12F7D"/>
    <w:rsid w:val="00C154B6"/>
    <w:rsid w:val="00C23F46"/>
    <w:rsid w:val="00C31B89"/>
    <w:rsid w:val="00C5780D"/>
    <w:rsid w:val="00C77D1E"/>
    <w:rsid w:val="00C94B35"/>
    <w:rsid w:val="00C964B8"/>
    <w:rsid w:val="00CA2A96"/>
    <w:rsid w:val="00CC131E"/>
    <w:rsid w:val="00CC66AA"/>
    <w:rsid w:val="00CF3197"/>
    <w:rsid w:val="00D03B28"/>
    <w:rsid w:val="00D27775"/>
    <w:rsid w:val="00D41382"/>
    <w:rsid w:val="00D56164"/>
    <w:rsid w:val="00D705A1"/>
    <w:rsid w:val="00DB2F35"/>
    <w:rsid w:val="00DD0A09"/>
    <w:rsid w:val="00DD3163"/>
    <w:rsid w:val="00DE7EFC"/>
    <w:rsid w:val="00DF7740"/>
    <w:rsid w:val="00E31EBA"/>
    <w:rsid w:val="00E46577"/>
    <w:rsid w:val="00E65CA0"/>
    <w:rsid w:val="00EB3A5A"/>
    <w:rsid w:val="00ED00D1"/>
    <w:rsid w:val="00ED7097"/>
    <w:rsid w:val="00EE2DDC"/>
    <w:rsid w:val="00EF0030"/>
    <w:rsid w:val="00EF3353"/>
    <w:rsid w:val="00EF7A34"/>
    <w:rsid w:val="00F30437"/>
    <w:rsid w:val="00F365D6"/>
    <w:rsid w:val="00F47492"/>
    <w:rsid w:val="00F54ECA"/>
    <w:rsid w:val="00F57816"/>
    <w:rsid w:val="00F60ABC"/>
    <w:rsid w:val="00F74530"/>
    <w:rsid w:val="00F823DD"/>
    <w:rsid w:val="00F844A7"/>
    <w:rsid w:val="00F8455C"/>
    <w:rsid w:val="00FA4D25"/>
    <w:rsid w:val="00FD19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C0A"/>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rsid w:val="006B0C0A"/>
    <w:rPr>
      <w:color w:val="0000FF"/>
      <w:u w:val="single"/>
    </w:rPr>
  </w:style>
  <w:style w:type="paragraph" w:styleId="Prrafodelista">
    <w:name w:val="List Paragraph"/>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rsid w:val="00880991"/>
    <w:rPr>
      <w:sz w:val="16"/>
      <w:szCs w:val="16"/>
    </w:rPr>
  </w:style>
  <w:style w:type="paragraph" w:styleId="Textocomentario">
    <w:name w:val="annotation text"/>
    <w:basedOn w:val="Normal"/>
    <w:link w:val="TextocomentarioCar"/>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C0A"/>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rsid w:val="006B0C0A"/>
    <w:rPr>
      <w:color w:val="0000FF"/>
      <w:u w:val="single"/>
    </w:rPr>
  </w:style>
  <w:style w:type="paragraph" w:styleId="Prrafodelista">
    <w:name w:val="List Paragraph"/>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rsid w:val="00880991"/>
    <w:rPr>
      <w:sz w:val="16"/>
      <w:szCs w:val="16"/>
    </w:rPr>
  </w:style>
  <w:style w:type="paragraph" w:styleId="Textocomentario">
    <w:name w:val="annotation text"/>
    <w:basedOn w:val="Normal"/>
    <w:link w:val="TextocomentarioCar"/>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5.png"/><Relationship Id="rId4" Type="http://schemas.openxmlformats.org/officeDocument/2006/relationships/image" Target="media/image40.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dartec\Documents\Plantillas%20personalizadas%20de%20Office\FORMATO%20ACTA%20DE%20SUSPENSI&#211;N%20Y%20REINICIO%20DE%20CONTRA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D9136-DE4B-4F3B-96D6-AE7EDDF0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ACTA DE SUSPENSIÓN Y REINICIO DE CONTRATO</Template>
  <TotalTime>612</TotalTime>
  <Pages>3</Pages>
  <Words>1125</Words>
  <Characters>6188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SSF</Company>
  <LinksUpToDate>false</LinksUpToDate>
  <CharactersWithSpaces>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Emilio Vidarte Coronado</dc:creator>
  <cp:lastModifiedBy>Ariana Isabel Gomez Orozco</cp:lastModifiedBy>
  <cp:revision>64</cp:revision>
  <cp:lastPrinted>2014-10-07T21:24:00Z</cp:lastPrinted>
  <dcterms:created xsi:type="dcterms:W3CDTF">2015-03-17T20:05:00Z</dcterms:created>
  <dcterms:modified xsi:type="dcterms:W3CDTF">2015-09-30T20:23:00Z</dcterms:modified>
</cp:coreProperties>
</file>